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8AA8A1">
      <w:pPr>
        <w:bidi w:val="0"/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上海南湖大讲坛</w:t>
      </w:r>
    </w:p>
    <w:p w14:paraId="378DC2B7">
      <w:pPr>
        <w:bidi w:val="0"/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创新赋能双高路，匠心领航话职教</w:t>
      </w:r>
    </w:p>
    <w:p w14:paraId="2B784EFC">
      <w:pPr>
        <w:bidi w:val="0"/>
        <w:jc w:val="righ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——上海南湖职业技术学院</w:t>
      </w:r>
      <w:r>
        <w:rPr>
          <w:rFonts w:hint="default"/>
          <w:b/>
          <w:bCs/>
          <w:sz w:val="28"/>
          <w:szCs w:val="28"/>
          <w:lang w:val="en-US" w:eastAsia="zh-CN"/>
        </w:rPr>
        <w:t>学术</w:t>
      </w:r>
      <w:r>
        <w:rPr>
          <w:rFonts w:hint="eastAsia"/>
          <w:b/>
          <w:bCs/>
          <w:sz w:val="28"/>
          <w:szCs w:val="28"/>
          <w:lang w:val="en-US" w:eastAsia="zh-CN"/>
        </w:rPr>
        <w:t>月</w:t>
      </w:r>
      <w:r>
        <w:rPr>
          <w:rFonts w:hint="default"/>
          <w:b/>
          <w:bCs/>
          <w:sz w:val="28"/>
          <w:szCs w:val="28"/>
          <w:lang w:val="en-US" w:eastAsia="zh-CN"/>
        </w:rPr>
        <w:t>活动方案</w:t>
      </w:r>
    </w:p>
    <w:p w14:paraId="629C3BB8">
      <w:pPr>
        <w:bidi w:val="0"/>
        <w:rPr>
          <w:rFonts w:hint="default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一、活动背景</w:t>
      </w:r>
    </w:p>
    <w:p w14:paraId="4359C519">
      <w:pPr>
        <w:bidi w:val="0"/>
        <w:rPr>
          <w:rFonts w:hint="default"/>
        </w:rPr>
      </w:pPr>
      <w:r>
        <w:rPr>
          <w:rFonts w:hint="default"/>
          <w:lang w:val="en-US" w:eastAsia="zh-CN"/>
        </w:rPr>
        <w:t>为响应国家对职业教育高质量发展的号召，进一步推动</w:t>
      </w:r>
      <w:r>
        <w:rPr>
          <w:rFonts w:hint="eastAsia"/>
          <w:lang w:val="en-US" w:eastAsia="zh-CN"/>
        </w:rPr>
        <w:t>学院落实</w:t>
      </w:r>
      <w:r>
        <w:rPr>
          <w:rFonts w:hint="default"/>
          <w:lang w:val="en-US" w:eastAsia="zh-CN"/>
        </w:rPr>
        <w:t xml:space="preserve"> “双高计划” 建设，搭建高水准的学术交流平台，促进职教领域前沿理念与技术的传播，特举办本次学术节，旨在凝聚各方智慧，提升学校的学术氛围与影响力，培养师生的创新思维与实践能力。​</w:t>
      </w:r>
    </w:p>
    <w:p w14:paraId="0FE96BA6"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二、活动主题</w:t>
      </w:r>
    </w:p>
    <w:p w14:paraId="58C51C95">
      <w:pPr>
        <w:bidi w:val="0"/>
        <w:rPr>
          <w:rFonts w:hint="default"/>
        </w:rPr>
      </w:pPr>
      <w:r>
        <w:rPr>
          <w:rFonts w:hint="default"/>
          <w:lang w:val="en-US" w:eastAsia="zh-CN"/>
        </w:rPr>
        <w:t>创新赋能双高路，匠心领航话职教​</w:t>
      </w:r>
    </w:p>
    <w:p w14:paraId="4F15D20F">
      <w:pPr>
        <w:bidi w:val="0"/>
        <w:rPr>
          <w:rFonts w:hint="default"/>
          <w:b/>
          <w:bCs/>
        </w:rPr>
      </w:pPr>
      <w:r>
        <w:rPr>
          <w:rFonts w:hint="default"/>
          <w:b/>
          <w:bCs/>
          <w:lang w:val="en-US" w:eastAsia="zh-CN"/>
        </w:rPr>
        <w:t>三、活动时间与地点​</w:t>
      </w:r>
    </w:p>
    <w:p w14:paraId="196E0C4F">
      <w:pPr>
        <w:bidi w:val="0"/>
      </w:pPr>
      <w:r>
        <w:rPr>
          <w:rFonts w:hint="default"/>
        </w:rPr>
        <w:t>时间</w:t>
      </w:r>
      <w:r>
        <w:rPr>
          <w:rFonts w:hint="default" w:ascii="Times New Roman" w:hAnsi="Times New Roman" w:cs="Times New Roma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2025年5月</w:t>
      </w:r>
    </w:p>
    <w:p w14:paraId="514A6539">
      <w:pPr>
        <w:bidi w:val="0"/>
        <w:rPr>
          <w:rFonts w:hint="default" w:eastAsia="仿宋"/>
          <w:lang w:val="en-US" w:eastAsia="zh-CN"/>
        </w:rPr>
      </w:pPr>
      <w:r>
        <w:rPr>
          <w:rFonts w:hint="default"/>
        </w:rPr>
        <w:t>主</w:t>
      </w:r>
      <w:r>
        <w:rPr>
          <w:rFonts w:hint="eastAsia"/>
          <w:lang w:val="en-US" w:eastAsia="zh-CN"/>
        </w:rPr>
        <w:t>会场</w:t>
      </w:r>
      <w:r>
        <w:rPr>
          <w:rFonts w:hint="default"/>
        </w:rPr>
        <w:t>地点：</w:t>
      </w:r>
      <w:r>
        <w:rPr>
          <w:rFonts w:hint="eastAsia"/>
          <w:lang w:val="en-US" w:eastAsia="zh-CN"/>
        </w:rPr>
        <w:t>会议中心二楼</w:t>
      </w:r>
    </w:p>
    <w:p w14:paraId="0E16ED9D">
      <w:pPr>
        <w:bidi w:val="0"/>
      </w:pPr>
      <w:r>
        <w:rPr>
          <w:rFonts w:hint="default"/>
        </w:rPr>
        <w:t>分</w:t>
      </w:r>
      <w:r>
        <w:rPr>
          <w:rFonts w:hint="eastAsia"/>
          <w:lang w:val="en-US" w:eastAsia="zh-CN"/>
        </w:rPr>
        <w:t>会场</w:t>
      </w:r>
      <w:r>
        <w:rPr>
          <w:rFonts w:hint="default"/>
        </w:rPr>
        <w:t>地点：</w:t>
      </w:r>
      <w:r>
        <w:rPr>
          <w:rFonts w:hint="eastAsia"/>
          <w:lang w:val="en-US" w:eastAsia="zh-CN"/>
        </w:rPr>
        <w:t>待通知</w:t>
      </w:r>
    </w:p>
    <w:p w14:paraId="47F4289D">
      <w:pPr>
        <w:bidi w:val="0"/>
        <w:rPr>
          <w:rFonts w:hint="default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四、参与人员</w:t>
      </w:r>
      <w:r>
        <w:rPr>
          <w:rFonts w:hint="default"/>
          <w:lang w:val="en-US" w:eastAsia="zh-CN"/>
        </w:rPr>
        <w:t>​</w:t>
      </w:r>
    </w:p>
    <w:p w14:paraId="0DC56660">
      <w:pPr>
        <w:bidi w:val="0"/>
      </w:pPr>
      <w:r>
        <w:rPr>
          <w:rFonts w:hint="default"/>
        </w:rPr>
        <w:t>主</w:t>
      </w:r>
      <w:r>
        <w:rPr>
          <w:rFonts w:hint="eastAsia"/>
          <w:lang w:val="en-US" w:eastAsia="zh-CN"/>
        </w:rPr>
        <w:t>会场</w:t>
      </w:r>
      <w:r>
        <w:rPr>
          <w:rFonts w:hint="default"/>
        </w:rPr>
        <w:t>：职教领域知名专家、校领导、各</w:t>
      </w:r>
      <w:r>
        <w:rPr>
          <w:rFonts w:hint="eastAsia"/>
          <w:lang w:val="en-US" w:eastAsia="zh-CN"/>
        </w:rPr>
        <w:t>系部</w:t>
      </w:r>
      <w:r>
        <w:rPr>
          <w:rFonts w:hint="default"/>
        </w:rPr>
        <w:t>负责人及骨干教师代表。​</w:t>
      </w:r>
    </w:p>
    <w:p w14:paraId="53439034">
      <w:pPr>
        <w:bidi w:val="0"/>
      </w:pPr>
      <w:r>
        <w:rPr>
          <w:rFonts w:hint="default"/>
        </w:rPr>
        <w:t>分</w:t>
      </w:r>
      <w:r>
        <w:rPr>
          <w:rFonts w:hint="eastAsia"/>
          <w:lang w:val="en-US" w:eastAsia="zh-CN"/>
        </w:rPr>
        <w:t>会场</w:t>
      </w:r>
      <w:r>
        <w:rPr>
          <w:rFonts w:hint="default"/>
        </w:rPr>
        <w:t>：在校学生、</w:t>
      </w:r>
      <w:r>
        <w:rPr>
          <w:rFonts w:hint="eastAsia"/>
          <w:lang w:val="en-US" w:eastAsia="zh-CN"/>
        </w:rPr>
        <w:t>梯队的序列教师</w:t>
      </w:r>
      <w:r>
        <w:rPr>
          <w:rFonts w:hint="default"/>
        </w:rPr>
        <w:t>、辅导员等。​</w:t>
      </w:r>
    </w:p>
    <w:p w14:paraId="3C1D550C">
      <w:pPr>
        <w:bidi w:val="0"/>
        <w:rPr>
          <w:rFonts w:hint="default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五、活动内容与安排</w:t>
      </w:r>
      <w:r>
        <w:rPr>
          <w:rFonts w:hint="default"/>
          <w:lang w:val="en-US" w:eastAsia="zh-CN"/>
        </w:rPr>
        <w:t>​</w:t>
      </w:r>
    </w:p>
    <w:p w14:paraId="56DBDF90">
      <w:pPr>
        <w:bidi w:val="0"/>
        <w:rPr>
          <w:rFonts w:hint="default"/>
          <w:b/>
          <w:bCs/>
        </w:rPr>
      </w:pPr>
      <w:r>
        <w:rPr>
          <w:rFonts w:hint="default"/>
          <w:b/>
          <w:bCs/>
          <w:lang w:val="en-US" w:eastAsia="zh-CN"/>
        </w:rPr>
        <w:t>（一）主</w:t>
      </w:r>
      <w:r>
        <w:rPr>
          <w:rFonts w:hint="eastAsia"/>
          <w:b/>
          <w:bCs/>
          <w:lang w:val="en-US" w:eastAsia="zh-CN"/>
        </w:rPr>
        <w:t>会场</w:t>
      </w:r>
      <w:r>
        <w:rPr>
          <w:rFonts w:hint="default"/>
          <w:b/>
          <w:bCs/>
          <w:lang w:val="en-US" w:eastAsia="zh-CN"/>
        </w:rPr>
        <w:t>：锚定双高新赛道，共谱职教</w:t>
      </w:r>
      <w:r>
        <w:rPr>
          <w:rFonts w:hint="eastAsia"/>
          <w:b/>
          <w:bCs/>
          <w:lang w:val="en-US" w:eastAsia="zh-CN"/>
        </w:rPr>
        <w:t>新未来</w:t>
      </w:r>
      <w:r>
        <w:rPr>
          <w:rFonts w:hint="default"/>
          <w:b/>
          <w:bCs/>
          <w:lang w:val="en-US" w:eastAsia="zh-CN"/>
        </w:rPr>
        <w:t>​</w:t>
      </w:r>
    </w:p>
    <w:p w14:paraId="3978490B">
      <w:pPr>
        <w:bidi w:val="0"/>
      </w:pPr>
      <w:r>
        <w:rPr>
          <w:rFonts w:hint="default"/>
        </w:rPr>
        <w:t>开幕式：</w:t>
      </w:r>
      <w:r>
        <w:rPr>
          <w:rFonts w:hint="eastAsia"/>
          <w:lang w:val="en-US" w:eastAsia="zh-CN"/>
        </w:rPr>
        <w:t>副院长周一峰</w:t>
      </w:r>
      <w:r>
        <w:rPr>
          <w:rFonts w:hint="default"/>
        </w:rPr>
        <w:t>致辞，介绍本次学术节的背景、目的与议程，强调活动对学校双高建设的重要意义。</w:t>
      </w:r>
    </w:p>
    <w:p w14:paraId="3DB12500">
      <w:pPr>
        <w:bidi w:val="0"/>
        <w:rPr>
          <w:rFonts w:hint="default"/>
        </w:rPr>
      </w:pPr>
      <w:r>
        <w:rPr>
          <w:rFonts w:hint="default"/>
        </w:rPr>
        <w:t>专家报告：教科研中的人机协同与人人协同</w:t>
      </w:r>
    </w:p>
    <w:p w14:paraId="0DE6D66F">
      <w:pPr>
        <w:bidi w:val="0"/>
        <w:rPr>
          <w:rFonts w:hint="default"/>
          <w:b/>
          <w:bCs/>
        </w:rPr>
      </w:pPr>
      <w:r>
        <w:rPr>
          <w:rFonts w:hint="default"/>
          <w:b/>
          <w:bCs/>
          <w:lang w:val="en-US" w:eastAsia="zh-CN"/>
        </w:rPr>
        <w:t>（二）分</w:t>
      </w:r>
      <w:r>
        <w:rPr>
          <w:rFonts w:hint="eastAsia"/>
          <w:b/>
          <w:bCs/>
          <w:lang w:val="en-US" w:eastAsia="zh-CN"/>
        </w:rPr>
        <w:t>会场</w:t>
      </w:r>
      <w:r>
        <w:rPr>
          <w:rFonts w:hint="default"/>
          <w:b/>
          <w:bCs/>
          <w:lang w:val="en-US" w:eastAsia="zh-CN"/>
        </w:rPr>
        <w:t>一：深耕技术前沿地，点亮学生</w:t>
      </w:r>
      <w:r>
        <w:rPr>
          <w:rFonts w:hint="eastAsia"/>
          <w:b/>
          <w:bCs/>
          <w:lang w:val="en-US" w:eastAsia="zh-CN"/>
        </w:rPr>
        <w:t>创</w:t>
      </w:r>
      <w:r>
        <w:rPr>
          <w:rFonts w:hint="default"/>
          <w:b/>
          <w:bCs/>
          <w:lang w:val="en-US" w:eastAsia="zh-CN"/>
        </w:rPr>
        <w:t>未来​</w:t>
      </w:r>
    </w:p>
    <w:p w14:paraId="138A7BEF">
      <w:pPr>
        <w:bidi w:val="0"/>
      </w:pPr>
      <w:r>
        <w:rPr>
          <w:rFonts w:hint="default"/>
        </w:rPr>
        <w:t>专业前沿讲座：各专业邀请企业技术骨干或行业专家，围绕本专业的新标准、新技术开展讲座。例如，</w:t>
      </w:r>
      <w:r>
        <w:rPr>
          <w:rFonts w:hint="eastAsia"/>
          <w:lang w:val="en-US" w:eastAsia="zh-CN"/>
        </w:rPr>
        <w:t>汽车</w:t>
      </w:r>
      <w:r>
        <w:rPr>
          <w:rFonts w:hint="default"/>
        </w:rPr>
        <w:t>智能</w:t>
      </w:r>
      <w:r>
        <w:rPr>
          <w:rFonts w:hint="eastAsia"/>
          <w:lang w:val="en-US" w:eastAsia="zh-CN"/>
        </w:rPr>
        <w:t>技术</w:t>
      </w:r>
      <w:r>
        <w:rPr>
          <w:rFonts w:hint="default"/>
        </w:rPr>
        <w:t>专业邀请工业机器人领域的专家，讲解最新的机器人编程标准与应用技术；</w:t>
      </w:r>
      <w:r>
        <w:rPr>
          <w:rFonts w:hint="eastAsia"/>
          <w:lang w:val="en-US" w:eastAsia="zh-CN"/>
        </w:rPr>
        <w:t>虚拟现实技术</w:t>
      </w:r>
      <w:r>
        <w:rPr>
          <w:rFonts w:hint="default"/>
        </w:rPr>
        <w:t>专业邀请数据分析师，分享大数据分析的行业标准与前沿算法。每个讲座时长</w:t>
      </w:r>
      <w:r>
        <w:rPr>
          <w:rFonts w:hint="default" w:ascii="Times New Roman" w:hAnsi="Times New Roman" w:cs="Times New Roman"/>
        </w:rPr>
        <w:t xml:space="preserve"> 60 分钟，讲座结束后安排 30 </w:t>
      </w:r>
      <w:r>
        <w:rPr>
          <w:rFonts w:hint="default"/>
        </w:rPr>
        <w:t>分钟的实践操作或案例分析，让学生亲身体验新技术的应用。​</w:t>
      </w:r>
    </w:p>
    <w:p w14:paraId="3A856FD4">
      <w:pPr>
        <w:bidi w:val="0"/>
      </w:pPr>
      <w:r>
        <w:rPr>
          <w:rFonts w:hint="default"/>
        </w:rPr>
        <w:t>学生创新成果展示：设立学生创新成果展示区，鼓励学生展示自己在专业学习过程中的创新作品，如创意设计、科技发明、学科竞赛成果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毕业设计</w:t>
      </w:r>
      <w:r>
        <w:rPr>
          <w:rFonts w:hint="default"/>
        </w:rPr>
        <w:t>等。安排学生进行现场讲解，分享作品的创作思路、技术难点与应用价值。组织评委对作品进行评选，设立一、二、三等奖及优秀奖，对获奖学生进行表彰。​</w:t>
      </w:r>
    </w:p>
    <w:p w14:paraId="4872F145">
      <w:pPr>
        <w:bidi w:val="0"/>
        <w:rPr>
          <w:rFonts w:hint="default"/>
          <w:b/>
          <w:bCs/>
        </w:rPr>
      </w:pPr>
      <w:r>
        <w:rPr>
          <w:rFonts w:hint="default"/>
          <w:b/>
          <w:bCs/>
          <w:lang w:val="en-US" w:eastAsia="zh-CN"/>
        </w:rPr>
        <w:t>（三）分</w:t>
      </w:r>
      <w:r>
        <w:rPr>
          <w:rFonts w:hint="eastAsia"/>
          <w:b/>
          <w:bCs/>
          <w:lang w:val="en-US" w:eastAsia="zh-CN"/>
        </w:rPr>
        <w:t>会场</w:t>
      </w:r>
      <w:r>
        <w:rPr>
          <w:rFonts w:hint="default"/>
          <w:b/>
          <w:bCs/>
          <w:lang w:val="en-US" w:eastAsia="zh-CN"/>
        </w:rPr>
        <w:t>二：教学改革结硕果，学术成长启新程</w:t>
      </w:r>
    </w:p>
    <w:p w14:paraId="6BF33283">
      <w:pPr>
        <w:bidi w:val="0"/>
        <w:rPr>
          <w:rFonts w:hint="eastAsia"/>
          <w:lang w:eastAsia="zh-CN"/>
        </w:rPr>
      </w:pPr>
      <w:r>
        <w:rPr>
          <w:rFonts w:hint="default"/>
        </w:rPr>
        <w:t>教学</w:t>
      </w:r>
      <w:r>
        <w:rPr>
          <w:rFonts w:hint="eastAsia"/>
          <w:lang w:val="en-US" w:eastAsia="zh-CN"/>
        </w:rPr>
        <w:t>科研</w:t>
      </w:r>
      <w:r>
        <w:rPr>
          <w:rFonts w:hint="default"/>
        </w:rPr>
        <w:t>分享：</w:t>
      </w:r>
      <w:r>
        <w:rPr>
          <w:rFonts w:hint="eastAsia"/>
          <w:lang w:val="en-US" w:eastAsia="zh-CN"/>
        </w:rPr>
        <w:t>学院第二批校级专业成长培育序列教师</w:t>
      </w:r>
      <w:r>
        <w:rPr>
          <w:rFonts w:hint="default"/>
        </w:rPr>
        <w:t>分享自己在</w:t>
      </w:r>
      <w:r>
        <w:rPr>
          <w:rFonts w:hint="eastAsia"/>
          <w:lang w:val="en-US" w:eastAsia="zh-CN"/>
        </w:rPr>
        <w:t>教学科研</w:t>
      </w:r>
      <w:r>
        <w:rPr>
          <w:rFonts w:hint="default"/>
        </w:rPr>
        <w:t>等方面的创新经验。</w:t>
      </w:r>
      <w:r>
        <w:rPr>
          <w:rFonts w:hint="eastAsia"/>
          <w:lang w:val="en-US" w:eastAsia="zh-CN"/>
        </w:rPr>
        <w:t>有主持市级课题的教师，分享</w:t>
      </w:r>
      <w:r>
        <w:rPr>
          <w:rFonts w:hint="default"/>
        </w:rPr>
        <w:t>项目申报的前期调研、团队组建、研究过程以及成果转化的经验</w:t>
      </w:r>
      <w:r>
        <w:rPr>
          <w:rFonts w:hint="eastAsia"/>
          <w:lang w:eastAsia="zh-CN"/>
        </w:rPr>
        <w:t>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4206"/>
        <w:gridCol w:w="1609"/>
        <w:gridCol w:w="1798"/>
      </w:tblGrid>
      <w:tr w14:paraId="30A44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909" w:type="dxa"/>
            <w:vAlign w:val="top"/>
          </w:tcPr>
          <w:p w14:paraId="61677A7B">
            <w:pPr>
              <w:ind w:left="0" w:leftChars="0" w:firstLine="0" w:firstLineChars="0"/>
              <w:jc w:val="both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序号</w:t>
            </w:r>
          </w:p>
        </w:tc>
        <w:tc>
          <w:tcPr>
            <w:tcW w:w="4206" w:type="dxa"/>
          </w:tcPr>
          <w:p w14:paraId="42A7D972">
            <w:pPr>
              <w:ind w:left="0" w:leftChars="0"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主题</w:t>
            </w:r>
          </w:p>
        </w:tc>
        <w:tc>
          <w:tcPr>
            <w:tcW w:w="1609" w:type="dxa"/>
          </w:tcPr>
          <w:p w14:paraId="1C284787">
            <w:pPr>
              <w:ind w:left="0" w:leftChars="0"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主讲人</w:t>
            </w:r>
          </w:p>
        </w:tc>
        <w:tc>
          <w:tcPr>
            <w:tcW w:w="1798" w:type="dxa"/>
          </w:tcPr>
          <w:p w14:paraId="6384F304">
            <w:pPr>
              <w:ind w:left="0" w:leftChars="0" w:firstLine="0" w:firstLineChars="0"/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时间/地点</w:t>
            </w:r>
          </w:p>
        </w:tc>
      </w:tr>
      <w:tr w14:paraId="562C7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909" w:type="dxa"/>
            <w:shd w:val="clear" w:color="auto" w:fill="auto"/>
            <w:vAlign w:val="center"/>
          </w:tcPr>
          <w:p w14:paraId="515799A0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1</w:t>
            </w:r>
          </w:p>
        </w:tc>
        <w:tc>
          <w:tcPr>
            <w:tcW w:w="4206" w:type="dxa"/>
            <w:shd w:val="clear" w:color="auto" w:fill="auto"/>
            <w:vAlign w:val="top"/>
          </w:tcPr>
          <w:p w14:paraId="72D808E4">
            <w:p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伟大建党精神及其时代价值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0875C671">
            <w:pPr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周福振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4E01682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5.19</w:t>
            </w:r>
          </w:p>
        </w:tc>
      </w:tr>
      <w:tr w14:paraId="0BEBD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  <w:shd w:val="clear" w:color="auto" w:fill="auto"/>
            <w:vAlign w:val="center"/>
          </w:tcPr>
          <w:p w14:paraId="7FDF36F6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2</w:t>
            </w:r>
          </w:p>
        </w:tc>
        <w:tc>
          <w:tcPr>
            <w:tcW w:w="4206" w:type="dxa"/>
            <w:shd w:val="clear" w:color="auto" w:fill="auto"/>
            <w:vAlign w:val="center"/>
          </w:tcPr>
          <w:p w14:paraId="057740C3">
            <w:p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trike w:val="0"/>
                <w:dstrike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sz w:val="21"/>
                <w:szCs w:val="21"/>
                <w:highlight w:val="none"/>
              </w:rPr>
              <w:t>新形态下大健康类人才培养的思考与展望</w:t>
            </w:r>
          </w:p>
        </w:tc>
        <w:tc>
          <w:tcPr>
            <w:tcW w:w="1609" w:type="dxa"/>
            <w:shd w:val="clear" w:color="auto" w:fill="auto"/>
            <w:vAlign w:val="top"/>
          </w:tcPr>
          <w:p w14:paraId="3F846F70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袁媛</w:t>
            </w:r>
          </w:p>
          <w:p w14:paraId="1E34F40B">
            <w:pPr>
              <w:jc w:val="both"/>
              <w:rPr>
                <w:rFonts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夏凡林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31B9C414">
            <w:pPr>
              <w:jc w:val="center"/>
              <w:rPr>
                <w:rFonts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5.20</w:t>
            </w:r>
          </w:p>
        </w:tc>
      </w:tr>
      <w:tr w14:paraId="16146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  <w:shd w:val="clear" w:color="auto" w:fill="auto"/>
            <w:vAlign w:val="center"/>
          </w:tcPr>
          <w:p w14:paraId="177DB2F1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3</w:t>
            </w:r>
          </w:p>
        </w:tc>
        <w:tc>
          <w:tcPr>
            <w:tcW w:w="4206" w:type="dxa"/>
            <w:shd w:val="clear" w:color="auto" w:fill="auto"/>
            <w:vAlign w:val="top"/>
          </w:tcPr>
          <w:p w14:paraId="656C8C10">
            <w:pPr>
              <w:ind w:left="0" w:leftChars="0" w:firstLine="0" w:firstLineChars="0"/>
              <w:jc w:val="both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智能网联汽车技术发展与人才培养路径</w:t>
            </w:r>
          </w:p>
          <w:p w14:paraId="7277D7F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1"/>
                <w:szCs w:val="21"/>
              </w:rPr>
              <w:t>‌——以上海国际车展前沿成果为切入点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488A7189">
            <w:pPr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朱列</w:t>
            </w:r>
          </w:p>
          <w:p w14:paraId="52AFA677">
            <w:pPr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寻桂莲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78C820F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5.21</w:t>
            </w:r>
          </w:p>
        </w:tc>
      </w:tr>
      <w:tr w14:paraId="7D3DD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  <w:shd w:val="clear" w:color="auto" w:fill="auto"/>
            <w:vAlign w:val="center"/>
          </w:tcPr>
          <w:p w14:paraId="53C4D4C7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4</w:t>
            </w:r>
          </w:p>
        </w:tc>
        <w:tc>
          <w:tcPr>
            <w:tcW w:w="4206" w:type="dxa"/>
            <w:shd w:val="clear" w:color="auto" w:fill="auto"/>
            <w:vAlign w:val="top"/>
          </w:tcPr>
          <w:p w14:paraId="060F8034">
            <w:p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微度假里的诗与远方——文旅融合的现代表达</w:t>
            </w:r>
          </w:p>
        </w:tc>
        <w:tc>
          <w:tcPr>
            <w:tcW w:w="1609" w:type="dxa"/>
            <w:shd w:val="clear" w:color="auto" w:fill="auto"/>
            <w:vAlign w:val="top"/>
          </w:tcPr>
          <w:p w14:paraId="1109634E">
            <w:pPr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孟伟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014DADC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5.22</w:t>
            </w:r>
          </w:p>
        </w:tc>
      </w:tr>
      <w:tr w14:paraId="51AA1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  <w:shd w:val="clear" w:color="auto" w:fill="auto"/>
            <w:vAlign w:val="center"/>
          </w:tcPr>
          <w:p w14:paraId="08072737">
            <w:pPr>
              <w:ind w:left="0" w:leftChars="0" w:firstLine="0" w:firstLineChars="0"/>
              <w:jc w:val="center"/>
              <w:rPr>
                <w:rFonts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</w:t>
            </w:r>
          </w:p>
        </w:tc>
        <w:tc>
          <w:tcPr>
            <w:tcW w:w="4206" w:type="dxa"/>
          </w:tcPr>
          <w:p w14:paraId="5E07B64F">
            <w:pPr>
              <w:ind w:left="0" w:leftChars="0" w:firstLine="0" w:firstLineChars="0"/>
              <w:jc w:val="both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数字内容制作实践创新人才培养的新场景</w:t>
            </w:r>
          </w:p>
          <w:p w14:paraId="49CB85EE">
            <w:pPr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——工具赋能与生态重构的双重必然</w:t>
            </w:r>
          </w:p>
        </w:tc>
        <w:tc>
          <w:tcPr>
            <w:tcW w:w="1609" w:type="dxa"/>
          </w:tcPr>
          <w:p w14:paraId="5752C34C">
            <w:pPr>
              <w:jc w:val="both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倪珺</w:t>
            </w:r>
          </w:p>
          <w:p w14:paraId="711C51E9">
            <w:pPr>
              <w:jc w:val="both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陈玲</w:t>
            </w:r>
          </w:p>
        </w:tc>
        <w:tc>
          <w:tcPr>
            <w:tcW w:w="1798" w:type="dxa"/>
            <w:vAlign w:val="center"/>
          </w:tcPr>
          <w:p w14:paraId="74A044DF">
            <w:pPr>
              <w:jc w:val="center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5.26</w:t>
            </w:r>
          </w:p>
        </w:tc>
      </w:tr>
      <w:tr w14:paraId="0FC6D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  <w:shd w:val="clear" w:color="auto" w:fill="auto"/>
            <w:vAlign w:val="center"/>
          </w:tcPr>
          <w:p w14:paraId="65E9C79E">
            <w:pPr>
              <w:ind w:left="0" w:leftChars="0" w:firstLine="0" w:firstLineChars="0"/>
              <w:jc w:val="center"/>
              <w:rPr>
                <w:rFonts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6</w:t>
            </w:r>
          </w:p>
        </w:tc>
        <w:tc>
          <w:tcPr>
            <w:tcW w:w="4206" w:type="dxa"/>
            <w:shd w:val="clear" w:color="auto" w:fill="auto"/>
            <w:vAlign w:val="top"/>
          </w:tcPr>
          <w:p w14:paraId="03D6DC2E">
            <w:p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AIGC赋能设计类专业开启无限可能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214D92C1">
            <w:pPr>
              <w:jc w:val="both"/>
              <w:rPr>
                <w:rFonts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杨冰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5C56353F">
            <w:pPr>
              <w:jc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5.27</w:t>
            </w:r>
          </w:p>
        </w:tc>
      </w:tr>
      <w:tr w14:paraId="7DE42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  <w:shd w:val="clear" w:color="auto" w:fill="auto"/>
            <w:vAlign w:val="center"/>
          </w:tcPr>
          <w:p w14:paraId="2DAEAE99">
            <w:pPr>
              <w:ind w:left="0" w:leftChars="0" w:firstLine="0" w:firstLineChars="0"/>
              <w:jc w:val="center"/>
              <w:rPr>
                <w:rFonts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7</w:t>
            </w:r>
          </w:p>
        </w:tc>
        <w:tc>
          <w:tcPr>
            <w:tcW w:w="4206" w:type="dxa"/>
            <w:shd w:val="clear" w:color="auto" w:fill="auto"/>
            <w:vAlign w:val="center"/>
          </w:tcPr>
          <w:p w14:paraId="5682412B">
            <w:pPr>
              <w:ind w:left="0" w:leftChars="0" w:firstLine="0" w:firstLineChars="0"/>
              <w:jc w:val="both"/>
              <w:rPr>
                <w:rFonts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AI驱动的研究创新：从智能选题到高效产出的学术工作新范式</w:t>
            </w:r>
          </w:p>
        </w:tc>
        <w:tc>
          <w:tcPr>
            <w:tcW w:w="1609" w:type="dxa"/>
            <w:shd w:val="clear" w:color="auto" w:fill="auto"/>
            <w:vAlign w:val="top"/>
          </w:tcPr>
          <w:p w14:paraId="0E7F5C5A">
            <w:pPr>
              <w:jc w:val="both"/>
              <w:rPr>
                <w:rFonts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刘玲钰</w:t>
            </w:r>
          </w:p>
          <w:p w14:paraId="489C310C">
            <w:p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同方知网东部区培训讲</w:t>
            </w:r>
            <w:r>
              <w:rPr>
                <w:rFonts w:hint="eastAsia" w:ascii="仿宋" w:hAnsi="仿宋" w:cs="仿宋"/>
                <w:sz w:val="21"/>
                <w:szCs w:val="21"/>
                <w:lang w:val="en-US" w:eastAsia="zh-CN"/>
              </w:rPr>
              <w:t>师</w:t>
            </w:r>
          </w:p>
        </w:tc>
        <w:tc>
          <w:tcPr>
            <w:tcW w:w="1798" w:type="dxa"/>
            <w:shd w:val="clear" w:color="auto" w:fill="auto"/>
            <w:vAlign w:val="center"/>
          </w:tcPr>
          <w:p w14:paraId="031526A9">
            <w:pPr>
              <w:jc w:val="center"/>
              <w:rPr>
                <w:rFonts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5.29</w:t>
            </w:r>
          </w:p>
        </w:tc>
      </w:tr>
    </w:tbl>
    <w:p w14:paraId="0A4C86CC"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t>六、宣传推广</w:t>
      </w:r>
    </w:p>
    <w:p w14:paraId="582ED36C">
      <w:pPr>
        <w:bidi w:val="0"/>
      </w:pPr>
      <w:r>
        <w:rPr>
          <w:rFonts w:hint="default"/>
        </w:rPr>
        <w:t>通过学校官网、微信公众号、校园</w:t>
      </w:r>
      <w:r>
        <w:rPr>
          <w:rFonts w:hint="eastAsia"/>
          <w:lang w:val="en-US" w:eastAsia="zh-CN"/>
        </w:rPr>
        <w:t>大屏</w:t>
      </w:r>
      <w:r>
        <w:rPr>
          <w:rFonts w:hint="default"/>
        </w:rPr>
        <w:t>、宣传栏等渠道发布学术节的活动通知、议程安排、专家介绍等信息，吸引师生的关注。​</w:t>
      </w:r>
    </w:p>
    <w:p w14:paraId="785461E2">
      <w:pPr>
        <w:bidi w:val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zZWM0MGQzZDAyMDA3YzZmODk0MjI1NDNhOWU0ODgifQ=="/>
  </w:docVars>
  <w:rsids>
    <w:rsidRoot w:val="33381819"/>
    <w:rsid w:val="07BD0D8B"/>
    <w:rsid w:val="2A56112C"/>
    <w:rsid w:val="2B342262"/>
    <w:rsid w:val="33381819"/>
    <w:rsid w:val="4482534C"/>
    <w:rsid w:val="45860018"/>
    <w:rsid w:val="52995311"/>
    <w:rsid w:val="632B20BC"/>
    <w:rsid w:val="6C5862F8"/>
    <w:rsid w:val="78E363A6"/>
    <w:rsid w:val="7CF8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420" w:firstLineChars="200"/>
      <w:jc w:val="both"/>
    </w:pPr>
    <w:rPr>
      <w:rFonts w:eastAsia="仿宋" w:asciiTheme="minorAscii" w:hAnsiTheme="minorAscii" w:cstheme="minorBidi"/>
      <w:kern w:val="2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Pages>2</Pages>
  <Words>1100</Words>
  <Characters>1130</Characters>
  <Lines>0</Lines>
  <Paragraphs>0</Paragraphs>
  <TotalTime>7</TotalTime>
  <ScaleCrop>false</ScaleCrop>
  <LinksUpToDate>false</LinksUpToDate>
  <CharactersWithSpaces>1136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A0472C0DCFCB4F1B9D17D709516C3F2B_13</vt:lpwstr>
  </property>
  <property fmtid="{D5CDD505-2E9C-101B-9397-08002B2CF9AE}" pid="4" name="KSOTemplateDocerSaveRecord">
    <vt:lpwstr>eyJoZGlkIjoiY2NiOGY0Y2Y5MTFiMDBiYzc4YjYxZDJjY2JiYjdlZWQiLCJ1c2VySWQiOiI0MTIxMDA2ODkifQ==</vt:lpwstr>
  </property>
</Properties>
</file>