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CC9E8">
      <w:pPr>
        <w:rPr>
          <w:rFonts w:hint="eastAsia"/>
          <w:b/>
          <w:bCs/>
          <w:sz w:val="28"/>
          <w:szCs w:val="36"/>
          <w:highlight w:val="none"/>
        </w:rPr>
      </w:pPr>
      <w:r>
        <w:rPr>
          <w:rFonts w:hint="eastAsia"/>
          <w:b/>
          <w:bCs/>
          <w:sz w:val="28"/>
          <w:szCs w:val="36"/>
          <w:highlight w:val="none"/>
        </w:rPr>
        <w:t>个人简介：</w:t>
      </w:r>
    </w:p>
    <w:p w14:paraId="6A1F1E92">
      <w:pPr>
        <w:ind w:firstLine="560" w:firstLineChars="200"/>
        <w:rPr>
          <w:rFonts w:hint="eastAsia"/>
          <w:sz w:val="28"/>
          <w:szCs w:val="36"/>
          <w:highlight w:val="none"/>
          <w:lang w:val="en-US" w:eastAsia="zh-CN"/>
        </w:rPr>
      </w:pPr>
      <w:r>
        <w:rPr>
          <w:rFonts w:hint="eastAsia"/>
          <w:sz w:val="28"/>
          <w:szCs w:val="36"/>
          <w:highlight w:val="none"/>
        </w:rPr>
        <w:t>袁媛，女，中共党员，副教授／主管护师／健康管理师技师／心理咨询师技师，博士，上海市育才奖</w:t>
      </w:r>
      <w:r>
        <w:rPr>
          <w:rFonts w:hint="eastAsia"/>
          <w:sz w:val="28"/>
          <w:szCs w:val="36"/>
          <w:highlight w:val="none"/>
          <w:lang w:eastAsia="zh-CN"/>
        </w:rPr>
        <w:t>，</w:t>
      </w:r>
      <w:r>
        <w:rPr>
          <w:rFonts w:hint="eastAsia"/>
          <w:sz w:val="28"/>
          <w:szCs w:val="36"/>
          <w:highlight w:val="none"/>
          <w:lang w:val="en-US" w:eastAsia="zh-CN"/>
        </w:rPr>
        <w:t>上海市虹口英才拔尖人才</w:t>
      </w:r>
      <w:r>
        <w:rPr>
          <w:rFonts w:hint="eastAsia"/>
          <w:sz w:val="28"/>
          <w:szCs w:val="36"/>
          <w:highlight w:val="none"/>
        </w:rPr>
        <w:t>获得者，</w:t>
      </w:r>
      <w:r>
        <w:rPr>
          <w:rFonts w:hint="eastAsia"/>
          <w:sz w:val="28"/>
          <w:szCs w:val="36"/>
          <w:highlight w:val="none"/>
          <w:lang w:val="en-US" w:eastAsia="zh-CN"/>
        </w:rPr>
        <w:t>上海市教委认定高级双师型教师。</w:t>
      </w:r>
      <w:r>
        <w:rPr>
          <w:rFonts w:hint="eastAsia"/>
          <w:sz w:val="28"/>
          <w:szCs w:val="36"/>
          <w:highlight w:val="none"/>
        </w:rPr>
        <w:t>担任第48届世界技能大赛健康和社会照护赛项上海集训队专家，2025“一带一路”金砖第二届急救护理技能赛项专家，</w:t>
      </w:r>
      <w:r>
        <w:rPr>
          <w:rFonts w:hint="eastAsia"/>
          <w:sz w:val="28"/>
          <w:szCs w:val="36"/>
          <w:highlight w:val="none"/>
          <w:lang w:val="en-US" w:eastAsia="zh-CN"/>
        </w:rPr>
        <w:t>世界</w:t>
      </w:r>
      <w:r>
        <w:rPr>
          <w:rFonts w:hint="eastAsia"/>
          <w:sz w:val="28"/>
          <w:szCs w:val="36"/>
          <w:highlight w:val="none"/>
        </w:rPr>
        <w:t>职业院校技能大赛裁判，“一带一路”暨金砖国家技能发展国际联盟医药大健康专委会护理技能分委会副主任委员，</w:t>
      </w:r>
      <w:r>
        <w:rPr>
          <w:rFonts w:hint="eastAsia"/>
          <w:sz w:val="28"/>
          <w:szCs w:val="36"/>
          <w:highlight w:val="none"/>
          <w:lang w:val="en-US" w:eastAsia="zh-CN"/>
        </w:rPr>
        <w:t>上海市教育考试院入库专家，</w:t>
      </w:r>
      <w:r>
        <w:rPr>
          <w:rFonts w:hint="eastAsia" w:ascii="宋体" w:hAnsi="宋体" w:cs="宋体"/>
          <w:kern w:val="0"/>
          <w:sz w:val="28"/>
          <w:szCs w:val="28"/>
          <w:highlight w:val="none"/>
        </w:rPr>
        <w:t>上海市教育评估院高级职称评审专家，</w:t>
      </w:r>
      <w:r>
        <w:rPr>
          <w:rFonts w:hint="eastAsia"/>
          <w:sz w:val="28"/>
          <w:szCs w:val="36"/>
          <w:highlight w:val="none"/>
          <w:lang w:val="en-US" w:eastAsia="zh-CN"/>
        </w:rPr>
        <w:t>上海市医疗护理员职业技能等级认定题库开发专家，上海现代护理职业教育集团理事会理事，</w:t>
      </w:r>
      <w:r>
        <w:rPr>
          <w:rFonts w:hint="eastAsia"/>
          <w:sz w:val="28"/>
          <w:szCs w:val="36"/>
          <w:highlight w:val="none"/>
        </w:rPr>
        <w:t>上海市人口早期发展协会理事，</w:t>
      </w:r>
      <w:r>
        <w:rPr>
          <w:rFonts w:hint="eastAsia"/>
          <w:sz w:val="28"/>
          <w:szCs w:val="36"/>
          <w:highlight w:val="none"/>
          <w:lang w:val="en-US" w:eastAsia="zh-CN"/>
        </w:rPr>
        <w:t>上海研究型医院学会健康照护研究与创新专业委员会委员，上海市护理学会委员，</w:t>
      </w:r>
      <w:r>
        <w:rPr>
          <w:rFonts w:hint="eastAsia"/>
          <w:sz w:val="28"/>
          <w:szCs w:val="36"/>
          <w:highlight w:val="none"/>
        </w:rPr>
        <w:t>上海市高职高专医药健康类专业教学指导委员会委员，上海市托幼服务类专业教学指导委员会秘书长，上海虹口新产业发展职教集团护理名师工作室主持人</w:t>
      </w:r>
      <w:r>
        <w:rPr>
          <w:rFonts w:hint="eastAsia"/>
          <w:sz w:val="28"/>
          <w:szCs w:val="36"/>
          <w:highlight w:val="none"/>
          <w:lang w:eastAsia="zh-CN"/>
        </w:rPr>
        <w:t>，</w:t>
      </w:r>
      <w:r>
        <w:rPr>
          <w:rFonts w:hint="eastAsia"/>
          <w:sz w:val="28"/>
          <w:szCs w:val="36"/>
          <w:highlight w:val="none"/>
          <w:lang w:val="en-US" w:eastAsia="zh-CN"/>
        </w:rPr>
        <w:t>新疆喀什理工职业技术学院专家咨询委员会委员，上海市家庭服务业协会考评员，上海市护理学会医疗护理员考评员，新世代康养学苑领英导师，上海南湖职业技术学院护理专业带头人，护理专业教学名师。2025年上海市中等职业学校、技工学校教师高级职称评审委员会学科评议组组员。</w:t>
      </w:r>
    </w:p>
    <w:p w14:paraId="252420CB">
      <w:pPr>
        <w:ind w:firstLine="560" w:firstLineChars="200"/>
        <w:rPr>
          <w:rFonts w:hint="eastAsia"/>
          <w:sz w:val="28"/>
          <w:szCs w:val="36"/>
          <w:highlight w:val="none"/>
          <w:lang w:eastAsia="zh-CN"/>
        </w:rPr>
      </w:pPr>
      <w:r>
        <w:rPr>
          <w:rFonts w:hint="eastAsia"/>
          <w:sz w:val="28"/>
          <w:szCs w:val="36"/>
          <w:highlight w:val="none"/>
        </w:rPr>
        <w:t>2004年6月毕业于安徽中医药大学护理</w:t>
      </w:r>
      <w:r>
        <w:rPr>
          <w:rFonts w:hint="eastAsia"/>
          <w:sz w:val="28"/>
          <w:szCs w:val="36"/>
          <w:highlight w:val="none"/>
          <w:lang w:val="en-US" w:eastAsia="zh-CN"/>
        </w:rPr>
        <w:t>专业</w:t>
      </w:r>
      <w:r>
        <w:rPr>
          <w:rFonts w:hint="eastAsia"/>
          <w:sz w:val="28"/>
          <w:szCs w:val="36"/>
          <w:highlight w:val="none"/>
        </w:rPr>
        <w:t>，主要从事护理教育研究。工作以来主持了市级及以上课题</w:t>
      </w:r>
      <w:r>
        <w:rPr>
          <w:rFonts w:hint="eastAsia"/>
          <w:sz w:val="28"/>
          <w:szCs w:val="36"/>
          <w:highlight w:val="none"/>
          <w:lang w:val="en-US" w:eastAsia="zh-CN"/>
        </w:rPr>
        <w:t>8</w:t>
      </w:r>
      <w:r>
        <w:rPr>
          <w:rFonts w:hint="eastAsia"/>
          <w:sz w:val="28"/>
          <w:szCs w:val="36"/>
          <w:highlight w:val="none"/>
        </w:rPr>
        <w:t>项，发表论文10余篇，核心期刊</w:t>
      </w:r>
      <w:r>
        <w:rPr>
          <w:rFonts w:hint="eastAsia"/>
          <w:sz w:val="28"/>
          <w:szCs w:val="36"/>
          <w:highlight w:val="none"/>
          <w:lang w:val="en-US" w:eastAsia="zh-CN"/>
        </w:rPr>
        <w:t>3</w:t>
      </w:r>
      <w:r>
        <w:rPr>
          <w:rFonts w:hint="eastAsia"/>
          <w:sz w:val="28"/>
          <w:szCs w:val="36"/>
          <w:highlight w:val="none"/>
        </w:rPr>
        <w:t>篇，SCI论文1篇，主编／副主编教材8本</w:t>
      </w:r>
      <w:r>
        <w:rPr>
          <w:rFonts w:hint="eastAsia"/>
          <w:sz w:val="28"/>
          <w:szCs w:val="36"/>
          <w:highlight w:val="none"/>
          <w:lang w:eastAsia="zh-CN"/>
        </w:rPr>
        <w:t>（</w:t>
      </w:r>
      <w:r>
        <w:rPr>
          <w:rFonts w:hint="eastAsia"/>
          <w:sz w:val="28"/>
          <w:szCs w:val="36"/>
          <w:highlight w:val="none"/>
          <w:lang w:val="en-US" w:eastAsia="zh-CN"/>
        </w:rPr>
        <w:t>其中国家级“十四五”规划教材1本），</w:t>
      </w:r>
      <w:r>
        <w:rPr>
          <w:rFonts w:hint="eastAsia"/>
          <w:sz w:val="28"/>
          <w:szCs w:val="36"/>
          <w:highlight w:val="none"/>
        </w:rPr>
        <w:t>专利</w:t>
      </w:r>
      <w:r>
        <w:rPr>
          <w:rFonts w:hint="eastAsia"/>
          <w:sz w:val="28"/>
          <w:szCs w:val="36"/>
          <w:highlight w:val="none"/>
          <w:lang w:val="en-US" w:eastAsia="zh-CN"/>
        </w:rPr>
        <w:t>3</w:t>
      </w:r>
      <w:r>
        <w:rPr>
          <w:rFonts w:hint="eastAsia"/>
          <w:sz w:val="28"/>
          <w:szCs w:val="36"/>
          <w:highlight w:val="none"/>
        </w:rPr>
        <w:t>项，软件著作权11项。主持上海一流专科高等职业教育护理专业建设，上海市高职高专市级专业示范性教学资源库</w:t>
      </w:r>
      <w:r>
        <w:rPr>
          <w:rFonts w:hint="eastAsia"/>
          <w:sz w:val="28"/>
          <w:szCs w:val="36"/>
          <w:highlight w:val="none"/>
          <w:lang w:eastAsia="zh-CN"/>
        </w:rPr>
        <w:t>——健康养老服务专业群教学资源库、</w:t>
      </w:r>
      <w:r>
        <w:rPr>
          <w:rFonts w:hint="eastAsia"/>
          <w:sz w:val="28"/>
          <w:szCs w:val="36"/>
          <w:highlight w:val="none"/>
          <w:lang w:val="en-US" w:eastAsia="zh-CN"/>
        </w:rPr>
        <w:t>护理专业教学资源库</w:t>
      </w:r>
      <w:r>
        <w:rPr>
          <w:rFonts w:hint="eastAsia"/>
          <w:sz w:val="28"/>
          <w:szCs w:val="36"/>
          <w:highlight w:val="none"/>
          <w:lang w:eastAsia="zh-CN"/>
        </w:rPr>
        <w:t>建设</w:t>
      </w:r>
      <w:r>
        <w:rPr>
          <w:rFonts w:hint="eastAsia"/>
          <w:sz w:val="28"/>
          <w:szCs w:val="36"/>
          <w:highlight w:val="none"/>
          <w:lang w:val="en-US" w:eastAsia="zh-CN"/>
        </w:rPr>
        <w:t>2项</w:t>
      </w:r>
      <w:r>
        <w:rPr>
          <w:rFonts w:hint="eastAsia"/>
          <w:sz w:val="28"/>
          <w:szCs w:val="36"/>
          <w:highlight w:val="none"/>
          <w:lang w:eastAsia="zh-CN"/>
        </w:rPr>
        <w:t>，</w:t>
      </w:r>
      <w:r>
        <w:rPr>
          <w:rFonts w:hint="eastAsia"/>
          <w:sz w:val="28"/>
          <w:szCs w:val="36"/>
          <w:highlight w:val="none"/>
          <w:lang w:val="en-US" w:eastAsia="zh-CN"/>
        </w:rPr>
        <w:t>上海市精品在线课程2门</w:t>
      </w:r>
      <w:r>
        <w:rPr>
          <w:rFonts w:hint="eastAsia"/>
          <w:sz w:val="28"/>
          <w:szCs w:val="36"/>
          <w:highlight w:val="none"/>
          <w:lang w:eastAsia="zh-CN"/>
        </w:rPr>
        <w:t>。获上海市教学成果奖一等奖，主持</w:t>
      </w:r>
      <w:r>
        <w:rPr>
          <w:rFonts w:hint="eastAsia" w:asciiTheme="minorHAnsi" w:eastAsiaTheme="minorEastAsia"/>
          <w:sz w:val="28"/>
          <w:szCs w:val="36"/>
          <w:highlight w:val="none"/>
          <w:lang w:val="en-US" w:eastAsia="zh-CN"/>
        </w:rPr>
        <w:t>上海市教学改革推进项目一般项目</w:t>
      </w:r>
      <w:r>
        <w:rPr>
          <w:rFonts w:hint="eastAsia"/>
          <w:sz w:val="28"/>
          <w:szCs w:val="36"/>
          <w:highlight w:val="none"/>
          <w:lang w:val="en-US" w:eastAsia="zh-CN"/>
        </w:rPr>
        <w:t>，</w:t>
      </w:r>
      <w:r>
        <w:rPr>
          <w:rFonts w:hint="eastAsia"/>
          <w:sz w:val="28"/>
          <w:szCs w:val="36"/>
          <w:highlight w:val="none"/>
          <w:lang w:eastAsia="zh-CN"/>
        </w:rPr>
        <w:t>虹口区优秀教学成果特等奖。</w:t>
      </w:r>
      <w:r>
        <w:rPr>
          <w:rFonts w:hint="eastAsia"/>
          <w:sz w:val="28"/>
          <w:szCs w:val="36"/>
          <w:highlight w:val="none"/>
          <w:lang w:val="en-US" w:eastAsia="zh-CN"/>
        </w:rPr>
        <w:t>获</w:t>
      </w:r>
      <w:r>
        <w:rPr>
          <w:rFonts w:hint="eastAsia"/>
          <w:sz w:val="28"/>
          <w:szCs w:val="36"/>
          <w:highlight w:val="none"/>
          <w:lang w:eastAsia="zh-CN"/>
        </w:rPr>
        <w:t>全国职业院校技能大赛教学能力比赛三等奖，上海市高职高专院校教师教学能力大赛一等奖，上海市课程思政教学设计展示活动特等奖等多项教学奖项，其所带领的护理教学团队获2018年“上海市教育系统三八红旗集体”，2019年“教育部骨干专业”、“上海市一流专科高等职业教育专业”，2020年“上海高职高专院校市级教师教学创新团队”。指导学生参加全国及上海市职业院校技能大赛“护理”、“健康与社会照护”、“</w:t>
      </w:r>
      <w:r>
        <w:rPr>
          <w:rFonts w:hint="eastAsia"/>
          <w:sz w:val="28"/>
          <w:szCs w:val="36"/>
          <w:highlight w:val="none"/>
          <w:lang w:val="en-US" w:eastAsia="zh-CN"/>
        </w:rPr>
        <w:t>健康养老照护</w:t>
      </w:r>
      <w:r>
        <w:rPr>
          <w:rFonts w:hint="eastAsia"/>
          <w:sz w:val="28"/>
          <w:szCs w:val="36"/>
          <w:highlight w:val="none"/>
          <w:lang w:eastAsia="zh-CN"/>
        </w:rPr>
        <w:t>”赛项，世界技能大赛上海选拔赛，“互联网＋”大学生创新创业大赛等各项比赛，获国赛一等奖，上海市一等奖等奖项</w:t>
      </w:r>
      <w:r>
        <w:rPr>
          <w:rFonts w:hint="eastAsia"/>
          <w:sz w:val="28"/>
          <w:szCs w:val="36"/>
          <w:highlight w:val="none"/>
          <w:lang w:val="en-US" w:eastAsia="zh-CN"/>
        </w:rPr>
        <w:t>2</w:t>
      </w:r>
      <w:r>
        <w:rPr>
          <w:rFonts w:hint="eastAsia"/>
          <w:sz w:val="28"/>
          <w:szCs w:val="36"/>
          <w:highlight w:val="none"/>
          <w:lang w:eastAsia="zh-CN"/>
        </w:rPr>
        <w:t>0余项。</w:t>
      </w:r>
    </w:p>
    <w:p w14:paraId="21E9568D">
      <w:pPr>
        <w:ind w:firstLine="560" w:firstLineChars="200"/>
        <w:rPr>
          <w:rFonts w:hint="eastAsia"/>
          <w:sz w:val="28"/>
          <w:szCs w:val="36"/>
          <w:highlight w:val="none"/>
          <w:lang w:eastAsia="zh-CN"/>
        </w:rPr>
      </w:pPr>
    </w:p>
    <w:p w14:paraId="1C449414">
      <w:pPr>
        <w:rPr>
          <w:rFonts w:hint="eastAsia"/>
          <w:sz w:val="28"/>
          <w:szCs w:val="36"/>
          <w:highlight w:val="none"/>
          <w:lang w:eastAsia="zh-CN"/>
        </w:rPr>
      </w:pPr>
      <w:r>
        <w:rPr>
          <w:rFonts w:hint="eastAsia"/>
          <w:b/>
          <w:bCs/>
          <w:sz w:val="28"/>
          <w:szCs w:val="36"/>
          <w:highlight w:val="none"/>
          <w:lang w:eastAsia="zh-CN"/>
        </w:rPr>
        <w:t>个人获奖：</w:t>
      </w:r>
    </w:p>
    <w:p w14:paraId="7D5D7DD9">
      <w:pPr>
        <w:rPr>
          <w:rFonts w:hint="eastAsia"/>
          <w:sz w:val="28"/>
          <w:szCs w:val="36"/>
          <w:highlight w:val="none"/>
          <w:lang w:eastAsia="zh-CN"/>
        </w:rPr>
      </w:pPr>
      <w:r>
        <w:rPr>
          <w:rFonts w:hint="eastAsia"/>
          <w:sz w:val="28"/>
          <w:szCs w:val="36"/>
          <w:highlight w:val="none"/>
          <w:lang w:eastAsia="zh-CN"/>
        </w:rPr>
        <w:t>2009年上海市育才奖</w:t>
      </w:r>
    </w:p>
    <w:p w14:paraId="4D6F21DA">
      <w:pPr>
        <w:rPr>
          <w:rFonts w:hint="eastAsia"/>
          <w:sz w:val="28"/>
          <w:szCs w:val="36"/>
          <w:highlight w:val="none"/>
          <w:lang w:eastAsia="zh-CN"/>
        </w:rPr>
      </w:pPr>
      <w:r>
        <w:rPr>
          <w:rFonts w:hint="eastAsia"/>
          <w:sz w:val="28"/>
          <w:szCs w:val="36"/>
          <w:highlight w:val="none"/>
          <w:lang w:eastAsia="zh-CN"/>
        </w:rPr>
        <w:t>2021</w:t>
      </w:r>
      <w:r>
        <w:rPr>
          <w:rFonts w:hint="eastAsia"/>
          <w:sz w:val="28"/>
          <w:szCs w:val="36"/>
          <w:highlight w:val="none"/>
          <w:lang w:val="en-US" w:eastAsia="zh-CN"/>
        </w:rPr>
        <w:t>学</w:t>
      </w:r>
      <w:r>
        <w:rPr>
          <w:rFonts w:hint="eastAsia"/>
          <w:sz w:val="28"/>
          <w:szCs w:val="36"/>
          <w:highlight w:val="none"/>
          <w:lang w:eastAsia="zh-CN"/>
        </w:rPr>
        <w:t>年度 上海市虹口区教育系统嘉奖</w:t>
      </w:r>
    </w:p>
    <w:p w14:paraId="4F067192">
      <w:pPr>
        <w:rPr>
          <w:rFonts w:hint="eastAsia"/>
          <w:sz w:val="28"/>
          <w:szCs w:val="36"/>
          <w:highlight w:val="none"/>
          <w:lang w:eastAsia="zh-CN"/>
        </w:rPr>
      </w:pPr>
      <w:r>
        <w:rPr>
          <w:rFonts w:hint="eastAsia"/>
          <w:sz w:val="28"/>
          <w:szCs w:val="36"/>
          <w:highlight w:val="none"/>
          <w:lang w:eastAsia="zh-CN"/>
        </w:rPr>
        <w:t>2022-2024学年度虹教系统教师专业人才梯队虹口区骨干教师</w:t>
      </w:r>
    </w:p>
    <w:p w14:paraId="3199DD1F">
      <w:pPr>
        <w:rPr>
          <w:rFonts w:hint="eastAsia"/>
          <w:sz w:val="28"/>
          <w:szCs w:val="36"/>
          <w:highlight w:val="none"/>
          <w:lang w:eastAsia="zh-CN"/>
        </w:rPr>
      </w:pPr>
      <w:r>
        <w:rPr>
          <w:rFonts w:hint="eastAsia"/>
          <w:sz w:val="28"/>
          <w:szCs w:val="36"/>
          <w:highlight w:val="none"/>
          <w:lang w:eastAsia="zh-CN"/>
        </w:rPr>
        <w:t>2024年</w:t>
      </w:r>
      <w:r>
        <w:rPr>
          <w:rFonts w:hint="eastAsia"/>
          <w:sz w:val="28"/>
          <w:szCs w:val="36"/>
          <w:highlight w:val="none"/>
          <w:lang w:val="en-US" w:eastAsia="zh-CN"/>
        </w:rPr>
        <w:t xml:space="preserve"> </w:t>
      </w:r>
      <w:r>
        <w:rPr>
          <w:rFonts w:hint="eastAsia"/>
          <w:sz w:val="28"/>
          <w:szCs w:val="36"/>
          <w:highlight w:val="none"/>
          <w:lang w:eastAsia="zh-CN"/>
        </w:rPr>
        <w:t>虹口区优秀园丁奖</w:t>
      </w:r>
    </w:p>
    <w:p w14:paraId="3446E31A">
      <w:pPr>
        <w:rPr>
          <w:rFonts w:hint="eastAsia"/>
          <w:sz w:val="28"/>
          <w:szCs w:val="36"/>
          <w:highlight w:val="none"/>
          <w:lang w:val="en-US" w:eastAsia="zh-CN"/>
        </w:rPr>
      </w:pPr>
      <w:r>
        <w:rPr>
          <w:rFonts w:hint="eastAsia"/>
          <w:sz w:val="28"/>
          <w:szCs w:val="36"/>
          <w:highlight w:val="none"/>
          <w:lang w:val="en-US" w:eastAsia="zh-CN"/>
        </w:rPr>
        <w:t>2025年 虹口英才计划“拔尖人才”</w:t>
      </w:r>
    </w:p>
    <w:p w14:paraId="4184B215">
      <w:pPr>
        <w:rPr>
          <w:rFonts w:hint="eastAsia"/>
          <w:sz w:val="28"/>
          <w:szCs w:val="36"/>
          <w:highlight w:val="none"/>
          <w:lang w:val="en-US" w:eastAsia="zh-CN"/>
        </w:rPr>
      </w:pPr>
      <w:r>
        <w:rPr>
          <w:rFonts w:hint="eastAsia"/>
          <w:sz w:val="28"/>
          <w:szCs w:val="36"/>
          <w:highlight w:val="none"/>
          <w:lang w:val="en-US" w:eastAsia="zh-CN"/>
        </w:rPr>
        <w:t>2025年 学院双带头人教师党支部书记工作室主持人</w:t>
      </w:r>
    </w:p>
    <w:p w14:paraId="472B2E5B">
      <w:pPr>
        <w:rPr>
          <w:rFonts w:hint="default"/>
          <w:sz w:val="28"/>
          <w:szCs w:val="36"/>
          <w:highlight w:val="none"/>
          <w:lang w:val="en-US" w:eastAsia="zh-CN"/>
        </w:rPr>
      </w:pPr>
    </w:p>
    <w:p w14:paraId="4CBF41E4">
      <w:pPr>
        <w:rPr>
          <w:rFonts w:hint="eastAsia"/>
          <w:sz w:val="28"/>
          <w:szCs w:val="36"/>
          <w:highlight w:val="none"/>
          <w:lang w:eastAsia="zh-CN"/>
        </w:rPr>
      </w:pPr>
      <w:r>
        <w:rPr>
          <w:rFonts w:hint="eastAsia"/>
          <w:b/>
          <w:bCs/>
          <w:sz w:val="28"/>
          <w:szCs w:val="36"/>
          <w:highlight w:val="none"/>
          <w:lang w:val="en-US" w:eastAsia="zh-CN"/>
        </w:rPr>
        <w:t>近五年</w:t>
      </w:r>
      <w:r>
        <w:rPr>
          <w:rFonts w:hint="eastAsia"/>
          <w:b/>
          <w:bCs/>
          <w:sz w:val="28"/>
          <w:szCs w:val="36"/>
          <w:highlight w:val="none"/>
          <w:lang w:eastAsia="zh-CN"/>
        </w:rPr>
        <w:t>主持专业建设：</w:t>
      </w:r>
    </w:p>
    <w:p w14:paraId="7EBF1B07">
      <w:pPr>
        <w:rPr>
          <w:rFonts w:hint="eastAsia"/>
          <w:sz w:val="28"/>
          <w:szCs w:val="36"/>
          <w:highlight w:val="none"/>
          <w:lang w:eastAsia="zh-CN"/>
        </w:rPr>
      </w:pPr>
      <w:r>
        <w:rPr>
          <w:rFonts w:hint="eastAsia"/>
          <w:sz w:val="28"/>
          <w:szCs w:val="36"/>
          <w:highlight w:val="none"/>
          <w:lang w:eastAsia="zh-CN"/>
        </w:rPr>
        <w:t>2023-2025年 上海市中职市级教师教学创新团队-健康护理教师教学创新团队负责人</w:t>
      </w:r>
    </w:p>
    <w:p w14:paraId="1DB1EAAC">
      <w:pPr>
        <w:rPr>
          <w:rFonts w:hint="eastAsia"/>
          <w:sz w:val="28"/>
          <w:szCs w:val="36"/>
          <w:highlight w:val="none"/>
          <w:lang w:eastAsia="zh-CN"/>
        </w:rPr>
      </w:pPr>
      <w:r>
        <w:rPr>
          <w:rFonts w:hint="eastAsia"/>
          <w:sz w:val="28"/>
          <w:szCs w:val="36"/>
          <w:highlight w:val="none"/>
          <w:lang w:eastAsia="zh-CN"/>
        </w:rPr>
        <w:t>第47届、48届世界技能大赛健康与社会照护赛项上海市集训场所负责人</w:t>
      </w:r>
    </w:p>
    <w:p w14:paraId="094DB0D2">
      <w:pPr>
        <w:rPr>
          <w:rFonts w:hint="eastAsia"/>
          <w:sz w:val="28"/>
          <w:szCs w:val="36"/>
          <w:highlight w:val="none"/>
          <w:lang w:eastAsia="zh-CN"/>
        </w:rPr>
      </w:pPr>
      <w:r>
        <w:rPr>
          <w:rFonts w:hint="eastAsia"/>
          <w:sz w:val="28"/>
          <w:szCs w:val="36"/>
          <w:highlight w:val="none"/>
          <w:lang w:eastAsia="zh-CN"/>
        </w:rPr>
        <w:t>2023-2025年 上海市首批职业教育现代产业学院-现代健康产业学院负责人</w:t>
      </w:r>
    </w:p>
    <w:p w14:paraId="64644BC0">
      <w:pPr>
        <w:rPr>
          <w:rFonts w:hint="eastAsia"/>
          <w:sz w:val="28"/>
          <w:szCs w:val="36"/>
          <w:highlight w:val="none"/>
          <w:lang w:eastAsia="zh-CN"/>
        </w:rPr>
      </w:pPr>
      <w:r>
        <w:rPr>
          <w:rFonts w:hint="eastAsia"/>
          <w:sz w:val="28"/>
          <w:szCs w:val="36"/>
          <w:highlight w:val="none"/>
          <w:lang w:eastAsia="zh-CN"/>
        </w:rPr>
        <w:t>2024-2026年</w:t>
      </w:r>
      <w:r>
        <w:rPr>
          <w:rFonts w:hint="eastAsia"/>
          <w:sz w:val="28"/>
          <w:szCs w:val="36"/>
          <w:highlight w:val="none"/>
          <w:lang w:val="en-US" w:eastAsia="zh-CN"/>
        </w:rPr>
        <w:t xml:space="preserve"> </w:t>
      </w:r>
      <w:r>
        <w:rPr>
          <w:rFonts w:hint="eastAsia"/>
          <w:sz w:val="28"/>
          <w:szCs w:val="36"/>
          <w:highlight w:val="none"/>
          <w:lang w:eastAsia="zh-CN"/>
        </w:rPr>
        <w:t>上海市教委示范性专业教学资源库建设-护理专业教学资源库主持人</w:t>
      </w:r>
    </w:p>
    <w:p w14:paraId="126CE11F">
      <w:pPr>
        <w:rPr>
          <w:rFonts w:hint="eastAsia"/>
          <w:sz w:val="28"/>
          <w:szCs w:val="36"/>
          <w:highlight w:val="none"/>
          <w:lang w:val="en-US" w:eastAsia="zh-CN"/>
        </w:rPr>
      </w:pPr>
      <w:r>
        <w:rPr>
          <w:rFonts w:hint="eastAsia"/>
          <w:sz w:val="28"/>
          <w:szCs w:val="36"/>
          <w:highlight w:val="none"/>
          <w:lang w:eastAsia="zh-CN"/>
        </w:rPr>
        <w:t>2024年</w:t>
      </w:r>
      <w:r>
        <w:rPr>
          <w:rFonts w:hint="eastAsia"/>
          <w:sz w:val="28"/>
          <w:szCs w:val="36"/>
          <w:highlight w:val="none"/>
          <w:lang w:eastAsia="zh-CN"/>
        </w:rPr>
        <w:tab/>
      </w:r>
      <w:r>
        <w:rPr>
          <w:rFonts w:hint="eastAsia"/>
          <w:sz w:val="28"/>
          <w:szCs w:val="36"/>
          <w:highlight w:val="none"/>
          <w:lang w:eastAsia="zh-CN"/>
        </w:rPr>
        <w:t>虹口区优秀教学成果特等奖</w:t>
      </w:r>
      <w:r>
        <w:rPr>
          <w:rFonts w:hint="eastAsia"/>
          <w:sz w:val="28"/>
          <w:szCs w:val="36"/>
          <w:highlight w:val="none"/>
          <w:lang w:val="en-US" w:eastAsia="zh-CN"/>
        </w:rPr>
        <w:t>主持人</w:t>
      </w:r>
    </w:p>
    <w:p w14:paraId="327856AC">
      <w:pPr>
        <w:rPr>
          <w:rFonts w:hint="eastAsia"/>
          <w:sz w:val="28"/>
          <w:szCs w:val="36"/>
          <w:highlight w:val="none"/>
          <w:lang w:val="en-US" w:eastAsia="zh-CN"/>
        </w:rPr>
      </w:pPr>
      <w:r>
        <w:rPr>
          <w:rFonts w:hint="eastAsia" w:asciiTheme="minorHAnsi" w:eastAsiaTheme="minorEastAsia"/>
          <w:sz w:val="28"/>
          <w:szCs w:val="36"/>
          <w:highlight w:val="none"/>
          <w:lang w:val="en-US" w:eastAsia="zh-CN"/>
        </w:rPr>
        <w:t>2026年  上海市教学改革推进项目一般项目（原上海市教学成果二等奖）主持人</w:t>
      </w:r>
    </w:p>
    <w:p w14:paraId="19634075">
      <w:pPr>
        <w:rPr>
          <w:rFonts w:hint="default"/>
          <w:sz w:val="28"/>
          <w:szCs w:val="36"/>
          <w:highlight w:val="none"/>
          <w:lang w:val="en-US" w:eastAsia="zh-CN"/>
        </w:rPr>
      </w:pPr>
    </w:p>
    <w:p w14:paraId="72E5AB5C">
      <w:pPr>
        <w:rPr>
          <w:rFonts w:hint="eastAsia"/>
          <w:sz w:val="28"/>
          <w:szCs w:val="36"/>
          <w:highlight w:val="none"/>
          <w:lang w:eastAsia="zh-CN"/>
        </w:rPr>
      </w:pPr>
      <w:r>
        <w:rPr>
          <w:rFonts w:hint="eastAsia"/>
          <w:b/>
          <w:bCs/>
          <w:sz w:val="28"/>
          <w:szCs w:val="36"/>
          <w:highlight w:val="none"/>
          <w:lang w:eastAsia="zh-CN"/>
        </w:rPr>
        <w:t>教学成果：</w:t>
      </w:r>
    </w:p>
    <w:p w14:paraId="3CE1B91F">
      <w:pPr>
        <w:rPr>
          <w:rFonts w:hint="eastAsia"/>
          <w:sz w:val="28"/>
          <w:szCs w:val="36"/>
          <w:highlight w:val="none"/>
          <w:lang w:eastAsia="zh-CN"/>
        </w:rPr>
      </w:pPr>
      <w:r>
        <w:rPr>
          <w:rFonts w:hint="eastAsia"/>
          <w:sz w:val="28"/>
          <w:szCs w:val="36"/>
          <w:highlight w:val="none"/>
          <w:lang w:eastAsia="zh-CN"/>
        </w:rPr>
        <w:t>2020.11 全国职业院校技能大赛健康与社会照护赛项</w:t>
      </w:r>
      <w:r>
        <w:rPr>
          <w:rFonts w:hint="eastAsia"/>
          <w:sz w:val="28"/>
          <w:szCs w:val="36"/>
          <w:highlight w:val="none"/>
          <w:lang w:val="en-US" w:eastAsia="zh-CN"/>
        </w:rPr>
        <w:t>一</w:t>
      </w:r>
      <w:r>
        <w:rPr>
          <w:rFonts w:hint="eastAsia"/>
          <w:sz w:val="28"/>
          <w:szCs w:val="36"/>
          <w:highlight w:val="none"/>
          <w:lang w:eastAsia="zh-CN"/>
        </w:rPr>
        <w:t>等奖指导教师／“优秀指导教师”奖</w:t>
      </w:r>
    </w:p>
    <w:p w14:paraId="724A60E1">
      <w:pPr>
        <w:rPr>
          <w:rFonts w:hint="eastAsia"/>
          <w:sz w:val="28"/>
          <w:szCs w:val="36"/>
          <w:highlight w:val="none"/>
          <w:lang w:eastAsia="zh-CN"/>
        </w:rPr>
      </w:pPr>
      <w:r>
        <w:rPr>
          <w:rFonts w:hint="eastAsia"/>
          <w:sz w:val="28"/>
          <w:szCs w:val="36"/>
          <w:highlight w:val="none"/>
          <w:lang w:eastAsia="zh-CN"/>
        </w:rPr>
        <w:t>202</w:t>
      </w:r>
      <w:r>
        <w:rPr>
          <w:rFonts w:hint="eastAsia"/>
          <w:sz w:val="28"/>
          <w:szCs w:val="36"/>
          <w:highlight w:val="none"/>
          <w:lang w:val="en-US" w:eastAsia="zh-CN"/>
        </w:rPr>
        <w:t>1.02</w:t>
      </w:r>
      <w:r>
        <w:rPr>
          <w:rFonts w:hint="eastAsia"/>
          <w:sz w:val="28"/>
          <w:szCs w:val="36"/>
          <w:highlight w:val="none"/>
          <w:lang w:eastAsia="zh-CN"/>
        </w:rPr>
        <w:t xml:space="preserve"> 全国职业院校技能大赛教学能力比赛三等奖</w:t>
      </w:r>
    </w:p>
    <w:p w14:paraId="652D0EB8">
      <w:pPr>
        <w:rPr>
          <w:rFonts w:hint="eastAsia"/>
          <w:sz w:val="28"/>
          <w:szCs w:val="36"/>
          <w:highlight w:val="none"/>
          <w:lang w:eastAsia="zh-CN"/>
        </w:rPr>
      </w:pPr>
      <w:r>
        <w:rPr>
          <w:rFonts w:hint="eastAsia"/>
          <w:sz w:val="28"/>
          <w:szCs w:val="36"/>
          <w:highlight w:val="none"/>
          <w:lang w:eastAsia="zh-CN"/>
        </w:rPr>
        <w:t>2022.06.09 上海市高职高专医药健康类专业教师说课（教学能力）比赛 一等奖</w:t>
      </w:r>
    </w:p>
    <w:p w14:paraId="16AA20EF">
      <w:pPr>
        <w:rPr>
          <w:rFonts w:hint="eastAsia"/>
          <w:sz w:val="28"/>
          <w:szCs w:val="36"/>
          <w:highlight w:val="none"/>
          <w:lang w:eastAsia="zh-CN"/>
        </w:rPr>
      </w:pPr>
      <w:r>
        <w:rPr>
          <w:rFonts w:hint="eastAsia"/>
          <w:sz w:val="28"/>
          <w:szCs w:val="36"/>
          <w:highlight w:val="none"/>
          <w:lang w:eastAsia="zh-CN"/>
        </w:rPr>
        <w:t xml:space="preserve">2022.06 </w:t>
      </w:r>
      <w:r>
        <w:rPr>
          <w:rFonts w:hint="eastAsia"/>
          <w:sz w:val="28"/>
          <w:szCs w:val="36"/>
          <w:highlight w:val="none"/>
          <w:lang w:val="en-US" w:eastAsia="zh-CN"/>
        </w:rPr>
        <w:t xml:space="preserve"> </w:t>
      </w:r>
      <w:r>
        <w:rPr>
          <w:rFonts w:hint="eastAsia"/>
          <w:sz w:val="28"/>
          <w:szCs w:val="36"/>
          <w:highlight w:val="none"/>
          <w:lang w:eastAsia="zh-CN"/>
        </w:rPr>
        <w:t>上海市高职高专院校教师教学能力大赛 一等奖</w:t>
      </w:r>
    </w:p>
    <w:p w14:paraId="336B52A0">
      <w:pPr>
        <w:rPr>
          <w:rFonts w:hint="eastAsia"/>
          <w:sz w:val="28"/>
          <w:szCs w:val="36"/>
          <w:highlight w:val="none"/>
          <w:lang w:eastAsia="zh-CN"/>
        </w:rPr>
      </w:pPr>
      <w:r>
        <w:rPr>
          <w:rFonts w:hint="eastAsia"/>
          <w:sz w:val="28"/>
          <w:szCs w:val="36"/>
          <w:highlight w:val="none"/>
          <w:lang w:eastAsia="zh-CN"/>
        </w:rPr>
        <w:t>2022.11</w:t>
      </w:r>
      <w:r>
        <w:rPr>
          <w:rFonts w:hint="eastAsia"/>
          <w:sz w:val="28"/>
          <w:szCs w:val="36"/>
          <w:highlight w:val="none"/>
          <w:lang w:eastAsia="zh-CN"/>
        </w:rPr>
        <w:tab/>
      </w:r>
      <w:r>
        <w:rPr>
          <w:rFonts w:hint="eastAsia"/>
          <w:sz w:val="28"/>
          <w:szCs w:val="36"/>
          <w:highlight w:val="none"/>
          <w:lang w:eastAsia="zh-CN"/>
        </w:rPr>
        <w:t>全国职业院校技能大赛教学能力比赛三等奖</w:t>
      </w:r>
    </w:p>
    <w:p w14:paraId="5EFAEF54">
      <w:pPr>
        <w:rPr>
          <w:rFonts w:hint="eastAsia"/>
          <w:sz w:val="28"/>
          <w:szCs w:val="36"/>
          <w:highlight w:val="none"/>
          <w:lang w:val="en-US" w:eastAsia="zh-CN"/>
        </w:rPr>
      </w:pPr>
      <w:r>
        <w:rPr>
          <w:rFonts w:hint="eastAsia"/>
          <w:sz w:val="28"/>
          <w:szCs w:val="36"/>
          <w:highlight w:val="none"/>
          <w:lang w:val="en-US" w:eastAsia="zh-CN"/>
        </w:rPr>
        <w:t>2025年  上海市课程思政教学设计展示活动特等奖</w:t>
      </w:r>
    </w:p>
    <w:p w14:paraId="3DAF18C8">
      <w:pPr>
        <w:rPr>
          <w:rFonts w:hint="eastAsia"/>
          <w:sz w:val="28"/>
          <w:szCs w:val="36"/>
          <w:highlight w:val="none"/>
          <w:lang w:val="en-US" w:eastAsia="zh-CN"/>
        </w:rPr>
      </w:pPr>
      <w:r>
        <w:rPr>
          <w:rFonts w:hint="eastAsia"/>
          <w:sz w:val="28"/>
          <w:szCs w:val="36"/>
          <w:highlight w:val="none"/>
          <w:lang w:val="en-US" w:eastAsia="zh-CN"/>
        </w:rPr>
        <w:t>2025年  上海市中等职业学校精品在线开放课程《儿童护理》负责人</w:t>
      </w:r>
    </w:p>
    <w:p w14:paraId="3F80A54D">
      <w:pPr>
        <w:rPr>
          <w:rFonts w:hint="eastAsia"/>
          <w:sz w:val="28"/>
          <w:szCs w:val="36"/>
          <w:highlight w:val="none"/>
          <w:lang w:val="en-US" w:eastAsia="zh-CN"/>
        </w:rPr>
      </w:pPr>
      <w:r>
        <w:rPr>
          <w:rFonts w:hint="eastAsia"/>
          <w:sz w:val="28"/>
          <w:szCs w:val="36"/>
          <w:highlight w:val="none"/>
          <w:lang w:val="en-US" w:eastAsia="zh-CN"/>
        </w:rPr>
        <w:t>2025年  上海高职高专首届课程思政优秀（经典）案例评选活动特等奖</w:t>
      </w:r>
    </w:p>
    <w:p w14:paraId="26C87913">
      <w:pPr>
        <w:rPr>
          <w:rFonts w:hint="eastAsia"/>
          <w:sz w:val="28"/>
          <w:szCs w:val="36"/>
          <w:highlight w:val="none"/>
          <w:lang w:val="en-US" w:eastAsia="zh-CN"/>
        </w:rPr>
      </w:pPr>
      <w:r>
        <w:rPr>
          <w:rFonts w:hint="eastAsia"/>
          <w:sz w:val="28"/>
          <w:szCs w:val="36"/>
          <w:highlight w:val="none"/>
          <w:lang w:val="en-US" w:eastAsia="zh-CN"/>
        </w:rPr>
        <w:t>2025年  上海高等职业教育市级精品在线开放课程《基础护理》负责人</w:t>
      </w:r>
    </w:p>
    <w:p w14:paraId="2AAE68CC">
      <w:pPr>
        <w:rPr>
          <w:rFonts w:hint="default"/>
          <w:sz w:val="28"/>
          <w:szCs w:val="36"/>
          <w:highlight w:val="none"/>
          <w:lang w:val="en-US" w:eastAsia="zh-CN"/>
        </w:rPr>
      </w:pPr>
      <w:r>
        <w:rPr>
          <w:rFonts w:hint="eastAsia"/>
          <w:sz w:val="28"/>
          <w:szCs w:val="36"/>
          <w:highlight w:val="none"/>
          <w:lang w:val="en-US" w:eastAsia="zh-CN"/>
        </w:rPr>
        <w:t>2026年  上海市教学改革推进项目一般项目（原上海市教学成果二等奖）主持人</w:t>
      </w:r>
    </w:p>
    <w:p w14:paraId="0251AD3B">
      <w:pPr>
        <w:rPr>
          <w:rFonts w:hint="eastAsia"/>
          <w:b/>
          <w:bCs/>
          <w:sz w:val="28"/>
          <w:szCs w:val="36"/>
          <w:highlight w:val="none"/>
          <w:lang w:eastAsia="zh-CN"/>
        </w:rPr>
      </w:pPr>
      <w:r>
        <w:rPr>
          <w:rFonts w:hint="eastAsia"/>
          <w:b/>
          <w:bCs/>
          <w:sz w:val="28"/>
          <w:szCs w:val="36"/>
          <w:highlight w:val="none"/>
          <w:lang w:val="en-US" w:eastAsia="zh-CN"/>
        </w:rPr>
        <w:t>近五年</w:t>
      </w:r>
      <w:r>
        <w:rPr>
          <w:rFonts w:hint="eastAsia"/>
          <w:b/>
          <w:bCs/>
          <w:sz w:val="28"/>
          <w:szCs w:val="36"/>
          <w:highlight w:val="none"/>
          <w:lang w:eastAsia="zh-CN"/>
        </w:rPr>
        <w:t>科研成果：</w:t>
      </w:r>
    </w:p>
    <w:p w14:paraId="15B5FC59">
      <w:pPr>
        <w:rPr>
          <w:rFonts w:hint="eastAsia"/>
          <w:sz w:val="28"/>
          <w:szCs w:val="36"/>
          <w:highlight w:val="none"/>
          <w:lang w:eastAsia="zh-CN"/>
        </w:rPr>
      </w:pPr>
      <w:r>
        <w:rPr>
          <w:rFonts w:hint="eastAsia"/>
          <w:b/>
          <w:bCs/>
          <w:sz w:val="28"/>
          <w:szCs w:val="36"/>
          <w:highlight w:val="none"/>
          <w:lang w:eastAsia="zh-CN"/>
        </w:rPr>
        <w:t>论文：</w:t>
      </w:r>
    </w:p>
    <w:p w14:paraId="409E2AB1">
      <w:pPr>
        <w:numPr>
          <w:ilvl w:val="0"/>
          <w:numId w:val="1"/>
        </w:numPr>
        <w:rPr>
          <w:rFonts w:hint="default" w:ascii="等线" w:hAnsi="等线" w:eastAsia="等线" w:cs="Times New Roman"/>
          <w:b w:val="0"/>
          <w:bCs w:val="0"/>
          <w:sz w:val="28"/>
          <w:szCs w:val="28"/>
          <w:highlight w:val="none"/>
          <w:lang w:val="en-US" w:eastAsia="zh-CN"/>
        </w:rPr>
      </w:pPr>
      <w:r>
        <w:rPr>
          <w:rFonts w:hint="eastAsia" w:ascii="等线" w:hAnsi="等线" w:eastAsia="等线" w:cs="Times New Roman"/>
          <w:b w:val="0"/>
          <w:bCs w:val="0"/>
          <w:sz w:val="28"/>
          <w:szCs w:val="28"/>
          <w:highlight w:val="none"/>
          <w:lang w:val="en-US" w:eastAsia="zh-CN"/>
        </w:rPr>
        <w:t xml:space="preserve"> 2026.04 国际期刊《</w:t>
      </w:r>
      <w:r>
        <w:rPr>
          <w:rFonts w:hint="default" w:ascii="Times New Roman" w:hAnsi="Times New Roman" w:eastAsia="等线" w:cs="Times New Roman"/>
          <w:b w:val="0"/>
          <w:bCs w:val="0"/>
          <w:sz w:val="28"/>
          <w:szCs w:val="28"/>
          <w:highlight w:val="none"/>
          <w:lang w:val="en-US" w:eastAsia="zh-CN"/>
        </w:rPr>
        <w:t>Innovation and Practice Research on the Modern Apprenticeship Training Model for Nursing Talents Integrating General-Specialty Integration, Moral-Technical Fusion, and Specialty-Innovation Union</w:t>
      </w:r>
      <w:r>
        <w:rPr>
          <w:rFonts w:hint="eastAsia" w:ascii="等线" w:hAnsi="等线" w:eastAsia="等线" w:cs="Times New Roman"/>
          <w:b w:val="0"/>
          <w:bCs w:val="0"/>
          <w:sz w:val="28"/>
          <w:szCs w:val="28"/>
          <w:highlight w:val="none"/>
          <w:lang w:val="en-US" w:eastAsia="zh-CN"/>
        </w:rPr>
        <w:t>》 Journal [J] Journal of Clinical and Nursing Research. Volume 10 , Issue 2 . 2026. PP 176-183，第一作者；</w:t>
      </w:r>
    </w:p>
    <w:p w14:paraId="79C70810">
      <w:pPr>
        <w:numPr>
          <w:ilvl w:val="0"/>
          <w:numId w:val="2"/>
        </w:numPr>
        <w:rPr>
          <w:rFonts w:hint="default" w:ascii="Times New Roman" w:hAnsi="Times New Roman" w:eastAsia="等线" w:cs="Times New Roman"/>
          <w:b w:val="0"/>
          <w:bCs w:val="0"/>
          <w:sz w:val="28"/>
          <w:szCs w:val="28"/>
          <w:highlight w:val="none"/>
          <w:lang w:val="en-US" w:eastAsia="zh-CN"/>
        </w:rPr>
      </w:pPr>
      <w:r>
        <w:rPr>
          <w:rFonts w:hint="eastAsia" w:ascii="等线" w:hAnsi="等线" w:eastAsia="等线" w:cs="Times New Roman"/>
          <w:b w:val="0"/>
          <w:bCs w:val="0"/>
          <w:sz w:val="28"/>
          <w:szCs w:val="28"/>
          <w:highlight w:val="none"/>
          <w:lang w:val="en-US" w:eastAsia="zh-CN"/>
        </w:rPr>
        <w:t xml:space="preserve"> 2024.07 TCI核心：《</w:t>
      </w:r>
      <w:r>
        <w:rPr>
          <w:rFonts w:hint="eastAsia" w:ascii="Times New Roman" w:hAnsi="Times New Roman" w:eastAsia="等线" w:cs="Times New Roman"/>
          <w:b w:val="0"/>
          <w:bCs w:val="0"/>
          <w:sz w:val="28"/>
          <w:szCs w:val="28"/>
          <w:highlight w:val="none"/>
          <w:lang w:val="en-US" w:eastAsia="zh-CN"/>
        </w:rPr>
        <w:t>Factors impacting student learning performance in Blended learning on nursing vocational education (The case study of public college in Shanghai, China)</w:t>
      </w:r>
      <w:r>
        <w:rPr>
          <w:rFonts w:hint="eastAsia" w:ascii="等线" w:hAnsi="等线" w:eastAsia="等线" w:cs="Times New Roman"/>
          <w:b w:val="0"/>
          <w:bCs w:val="0"/>
          <w:sz w:val="28"/>
          <w:szCs w:val="28"/>
          <w:highlight w:val="none"/>
          <w:lang w:val="en-US" w:eastAsia="zh-CN"/>
        </w:rPr>
        <w:t>》 ，</w:t>
      </w:r>
      <w:r>
        <w:rPr>
          <w:rFonts w:hint="eastAsia" w:ascii="Times New Roman" w:hAnsi="Times New Roman" w:eastAsia="等线" w:cs="Times New Roman"/>
          <w:b w:val="0"/>
          <w:bCs w:val="0"/>
          <w:sz w:val="28"/>
          <w:szCs w:val="28"/>
          <w:highlight w:val="none"/>
          <w:lang w:val="en-US" w:eastAsia="zh-CN"/>
        </w:rPr>
        <w:t>The EUrASEANs: journal on global socio-economic dynamics  Volume 4 (47), July-August, Year 2024; 独立作者</w:t>
      </w:r>
    </w:p>
    <w:p w14:paraId="053FD989">
      <w:pPr>
        <w:rPr>
          <w:rFonts w:hint="eastAsia" w:ascii="Times New Roman" w:hAnsi="Times New Roman" w:eastAsia="等线" w:cs="Times New Roman"/>
          <w:b w:val="0"/>
          <w:bCs w:val="0"/>
          <w:sz w:val="28"/>
          <w:szCs w:val="28"/>
          <w:highlight w:val="none"/>
          <w:lang w:val="en-US" w:eastAsia="zh-CN"/>
        </w:rPr>
      </w:pPr>
      <w:r>
        <w:rPr>
          <w:rFonts w:hint="eastAsia" w:ascii="Times New Roman" w:hAnsi="Times New Roman" w:eastAsia="等线" w:cs="Times New Roman"/>
          <w:b w:val="0"/>
          <w:bCs w:val="0"/>
          <w:sz w:val="28"/>
          <w:szCs w:val="28"/>
          <w:highlight w:val="none"/>
          <w:lang w:val="en-US" w:eastAsia="zh-CN"/>
        </w:rPr>
        <w:t>ISSN 2539 – 5645 (Print)</w:t>
      </w:r>
    </w:p>
    <w:p w14:paraId="6F5844AD">
      <w:pPr>
        <w:rPr>
          <w:rFonts w:hint="default" w:ascii="Times New Roman" w:hAnsi="Times New Roman" w:eastAsia="等线" w:cs="Times New Roman"/>
          <w:b w:val="0"/>
          <w:bCs w:val="0"/>
          <w:sz w:val="28"/>
          <w:szCs w:val="28"/>
          <w:highlight w:val="none"/>
          <w:lang w:val="en-US" w:eastAsia="zh-CN"/>
        </w:rPr>
      </w:pPr>
      <w:r>
        <w:rPr>
          <w:rFonts w:hint="eastAsia" w:ascii="Times New Roman" w:hAnsi="Times New Roman" w:eastAsia="等线" w:cs="Times New Roman"/>
          <w:b w:val="0"/>
          <w:bCs w:val="0"/>
          <w:sz w:val="28"/>
          <w:szCs w:val="28"/>
          <w:highlight w:val="none"/>
          <w:lang w:val="en-US" w:eastAsia="zh-CN"/>
        </w:rPr>
        <w:t>on-line access: https://www.euraseans.com/4(47)</w:t>
      </w:r>
    </w:p>
    <w:p w14:paraId="6DD388CF">
      <w:pPr>
        <w:numPr>
          <w:ilvl w:val="0"/>
          <w:numId w:val="2"/>
        </w:numPr>
        <w:ind w:left="0" w:leftChars="0" w:firstLine="0" w:firstLineChars="0"/>
        <w:rPr>
          <w:rFonts w:hint="default" w:ascii="等线" w:hAnsi="等线" w:eastAsia="等线" w:cs="Times New Roman"/>
          <w:b w:val="0"/>
          <w:bCs w:val="0"/>
          <w:sz w:val="28"/>
          <w:szCs w:val="28"/>
          <w:highlight w:val="none"/>
          <w:lang w:val="en-US" w:eastAsia="zh-CN"/>
        </w:rPr>
      </w:pPr>
      <w:r>
        <w:rPr>
          <w:rFonts w:hint="eastAsia" w:ascii="等线" w:hAnsi="等线" w:eastAsia="等线" w:cs="Times New Roman"/>
          <w:b w:val="0"/>
          <w:bCs w:val="0"/>
          <w:sz w:val="28"/>
          <w:szCs w:val="28"/>
          <w:highlight w:val="none"/>
          <w:lang w:val="en-US" w:eastAsia="zh-CN"/>
        </w:rPr>
        <w:t xml:space="preserve"> 2024.06 科技</w:t>
      </w:r>
      <w:r>
        <w:rPr>
          <w:rFonts w:hint="eastAsia" w:ascii="等线" w:hAnsi="等线" w:eastAsia="等线" w:cs="Times New Roman"/>
          <w:sz w:val="28"/>
          <w:szCs w:val="28"/>
          <w:highlight w:val="none"/>
          <w:lang w:val="en-US" w:eastAsia="zh-CN"/>
        </w:rPr>
        <w:t>核心期刊</w:t>
      </w:r>
      <w:r>
        <w:rPr>
          <w:rFonts w:hint="eastAsia" w:ascii="等线" w:hAnsi="等线" w:eastAsia="等线" w:cs="Times New Roman"/>
          <w:b w:val="0"/>
          <w:bCs w:val="0"/>
          <w:sz w:val="28"/>
          <w:szCs w:val="28"/>
          <w:highlight w:val="none"/>
          <w:lang w:val="en-US" w:eastAsia="zh-CN"/>
        </w:rPr>
        <w:t>核心：《婴幼儿奶瓶瓶身常用塑料及其安全性分析》，塑料助剂，2024（3）：59-61，独立作者；</w:t>
      </w:r>
    </w:p>
    <w:p w14:paraId="6F67136D">
      <w:pPr>
        <w:numPr>
          <w:ilvl w:val="0"/>
          <w:numId w:val="2"/>
        </w:numPr>
        <w:ind w:left="0" w:leftChars="0" w:firstLine="0" w:firstLineChars="0"/>
        <w:rPr>
          <w:rFonts w:hint="default" w:ascii="等线" w:hAnsi="等线" w:eastAsia="等线" w:cs="Times New Roman"/>
          <w:b w:val="0"/>
          <w:bCs w:val="0"/>
          <w:sz w:val="28"/>
          <w:szCs w:val="28"/>
          <w:highlight w:val="none"/>
          <w:lang w:val="en-US" w:eastAsia="zh-CN"/>
        </w:rPr>
      </w:pPr>
      <w:r>
        <w:rPr>
          <w:rFonts w:hint="eastAsia" w:ascii="等线" w:hAnsi="等线" w:eastAsia="等线" w:cs="Times New Roman"/>
          <w:b w:val="0"/>
          <w:bCs w:val="0"/>
          <w:sz w:val="28"/>
          <w:szCs w:val="28"/>
          <w:highlight w:val="none"/>
          <w:lang w:val="en-US" w:eastAsia="zh-CN"/>
        </w:rPr>
        <w:t xml:space="preserve"> 2022.08 普刊论文：《</w:t>
      </w:r>
      <w:bookmarkStart w:id="0" w:name="OLE_LINK5"/>
      <w:r>
        <w:rPr>
          <w:rFonts w:hint="eastAsia" w:ascii="等线" w:hAnsi="等线" w:eastAsia="等线" w:cs="Times New Roman"/>
          <w:b w:val="0"/>
          <w:bCs w:val="0"/>
          <w:sz w:val="28"/>
          <w:szCs w:val="28"/>
          <w:highlight w:val="none"/>
          <w:lang w:val="en-US" w:eastAsia="zh-CN"/>
        </w:rPr>
        <w:t>线上思政引领技能教育 空中德育锻造职业素养</w:t>
      </w:r>
      <w:bookmarkEnd w:id="0"/>
      <w:r>
        <w:rPr>
          <w:rFonts w:hint="eastAsia" w:ascii="等线" w:hAnsi="等线" w:eastAsia="等线" w:cs="Times New Roman"/>
          <w:b w:val="0"/>
          <w:bCs w:val="0"/>
          <w:sz w:val="28"/>
          <w:szCs w:val="28"/>
          <w:highlight w:val="none"/>
          <w:lang w:val="en-US" w:eastAsia="zh-CN"/>
        </w:rPr>
        <w:t>》，上海教育，2022（22）：164，独立作者；</w:t>
      </w:r>
    </w:p>
    <w:p w14:paraId="3DAE6951">
      <w:pPr>
        <w:numPr>
          <w:ilvl w:val="0"/>
          <w:numId w:val="2"/>
        </w:numPr>
        <w:ind w:left="0" w:leftChars="0" w:firstLine="0" w:firstLineChars="0"/>
        <w:rPr>
          <w:rFonts w:hint="default" w:ascii="等线" w:hAnsi="等线" w:eastAsia="等线" w:cs="Times New Roman"/>
          <w:b w:val="0"/>
          <w:bCs w:val="0"/>
          <w:sz w:val="28"/>
          <w:szCs w:val="28"/>
          <w:highlight w:val="none"/>
          <w:lang w:val="en-US" w:eastAsia="zh-CN"/>
        </w:rPr>
      </w:pPr>
      <w:r>
        <w:rPr>
          <w:rFonts w:hint="eastAsia" w:ascii="等线" w:hAnsi="等线" w:eastAsia="等线" w:cs="Times New Roman"/>
          <w:b w:val="0"/>
          <w:bCs w:val="0"/>
          <w:sz w:val="28"/>
          <w:szCs w:val="28"/>
          <w:highlight w:val="none"/>
          <w:lang w:val="en-US" w:eastAsia="zh-CN"/>
        </w:rPr>
        <w:t xml:space="preserve"> 2022.04 SCI论文：</w:t>
      </w:r>
      <w:r>
        <w:rPr>
          <w:rFonts w:hint="default" w:ascii="Times New Roman" w:hAnsi="Times New Roman" w:eastAsia="等线" w:cs="Times New Roman"/>
          <w:b w:val="0"/>
          <w:bCs w:val="0"/>
          <w:sz w:val="28"/>
          <w:szCs w:val="28"/>
          <w:highlight w:val="none"/>
          <w:lang w:val="en-US" w:eastAsia="zh-CN"/>
        </w:rPr>
        <w:t>《Upregulated lncRNA‐NEF predicts recurrence and poor</w:t>
      </w:r>
      <w:r>
        <w:rPr>
          <w:rFonts w:hint="eastAsia" w:ascii="Times New Roman" w:hAnsi="Times New Roman" w:eastAsia="等线" w:cs="Times New Roman"/>
          <w:b w:val="0"/>
          <w:bCs w:val="0"/>
          <w:sz w:val="28"/>
          <w:szCs w:val="28"/>
          <w:highlight w:val="none"/>
          <w:lang w:val="en-US" w:eastAsia="zh-CN"/>
        </w:rPr>
        <w:t xml:space="preserve"> </w:t>
      </w:r>
      <w:r>
        <w:rPr>
          <w:rFonts w:hint="default" w:ascii="Times New Roman" w:hAnsi="Times New Roman" w:eastAsia="等线" w:cs="Times New Roman"/>
          <w:b w:val="0"/>
          <w:bCs w:val="0"/>
          <w:sz w:val="28"/>
          <w:szCs w:val="28"/>
          <w:highlight w:val="none"/>
          <w:lang w:val="en-US" w:eastAsia="zh-CN"/>
        </w:rPr>
        <w:t xml:space="preserve">treatment outcomes of ankylosing spondylitis》，immunity,inflammation and Disease, </w:t>
      </w:r>
      <w:r>
        <w:rPr>
          <w:rFonts w:hint="eastAsia" w:ascii="等线" w:hAnsi="等线" w:eastAsia="等线" w:cs="Times New Roman"/>
          <w:b w:val="0"/>
          <w:bCs w:val="0"/>
          <w:sz w:val="28"/>
          <w:szCs w:val="28"/>
          <w:highlight w:val="none"/>
          <w:lang w:val="en-US" w:eastAsia="zh-CN"/>
        </w:rPr>
        <w:t>2022;10:e627.通讯作者，影响因子3.2；</w:t>
      </w:r>
    </w:p>
    <w:p w14:paraId="042C4481">
      <w:pPr>
        <w:numPr>
          <w:ilvl w:val="0"/>
          <w:numId w:val="2"/>
        </w:numPr>
        <w:ind w:left="0" w:leftChars="0" w:firstLine="0" w:firstLineChars="0"/>
        <w:rPr>
          <w:rFonts w:hint="eastAsia" w:ascii="等线" w:hAnsi="等线" w:eastAsia="等线" w:cs="Times New Roman"/>
          <w:sz w:val="28"/>
          <w:szCs w:val="28"/>
          <w:highlight w:val="none"/>
          <w:lang w:val="en-US" w:eastAsia="zh-CN"/>
        </w:rPr>
      </w:pPr>
      <w:r>
        <w:rPr>
          <w:rFonts w:hint="eastAsia" w:ascii="等线" w:hAnsi="等线" w:eastAsia="等线" w:cs="Times New Roman"/>
          <w:sz w:val="28"/>
          <w:szCs w:val="28"/>
          <w:highlight w:val="none"/>
          <w:lang w:val="en-US" w:eastAsia="zh-CN"/>
        </w:rPr>
        <w:t xml:space="preserve"> 2021.05科技核心期刊论著</w:t>
      </w:r>
      <w:r>
        <w:rPr>
          <w:rFonts w:hint="eastAsia" w:ascii="等线" w:hAnsi="等线" w:eastAsia="等线" w:cs="Times New Roman"/>
          <w:sz w:val="28"/>
          <w:szCs w:val="28"/>
          <w:highlight w:val="none"/>
          <w:lang w:eastAsia="zh-CN"/>
        </w:rPr>
        <w:t>《</w:t>
      </w:r>
      <w:r>
        <w:rPr>
          <w:rFonts w:hint="default" w:ascii="等线" w:hAnsi="等线" w:eastAsia="等线" w:cs="Times New Roman"/>
          <w:sz w:val="28"/>
          <w:szCs w:val="28"/>
          <w:highlight w:val="none"/>
        </w:rPr>
        <w:t>子痫前期患者血清miR-21</w:t>
      </w:r>
      <w:r>
        <w:rPr>
          <w:rFonts w:hint="eastAsia" w:ascii="等线" w:hAnsi="等线" w:eastAsia="等线" w:cs="Times New Roman"/>
          <w:sz w:val="28"/>
          <w:szCs w:val="28"/>
          <w:highlight w:val="none"/>
          <w:lang w:eastAsia="zh-CN"/>
        </w:rPr>
        <w:t>、</w:t>
      </w:r>
      <w:r>
        <w:rPr>
          <w:rFonts w:hint="default" w:ascii="等线" w:hAnsi="等线" w:eastAsia="等线" w:cs="Times New Roman"/>
          <w:sz w:val="28"/>
          <w:szCs w:val="28"/>
          <w:highlight w:val="none"/>
        </w:rPr>
        <w:t>miR-125b</w:t>
      </w:r>
      <w:r>
        <w:rPr>
          <w:rFonts w:hint="eastAsia" w:ascii="等线" w:hAnsi="等线" w:eastAsia="等线" w:cs="Times New Roman"/>
          <w:sz w:val="28"/>
          <w:szCs w:val="28"/>
          <w:highlight w:val="none"/>
          <w:lang w:eastAsia="zh-CN"/>
        </w:rPr>
        <w:t>的</w:t>
      </w:r>
      <w:r>
        <w:rPr>
          <w:rFonts w:hint="eastAsia" w:ascii="等线" w:hAnsi="等线" w:eastAsia="等线" w:cs="Times New Roman"/>
          <w:sz w:val="28"/>
          <w:szCs w:val="28"/>
          <w:highlight w:val="none"/>
          <w:lang w:val="en-US" w:eastAsia="zh-CN"/>
        </w:rPr>
        <w:t>相对表达水平变化及其临床意义</w:t>
      </w:r>
      <w:r>
        <w:rPr>
          <w:rFonts w:hint="eastAsia" w:ascii="等线" w:hAnsi="等线" w:eastAsia="等线" w:cs="Times New Roman"/>
          <w:sz w:val="28"/>
          <w:szCs w:val="28"/>
          <w:highlight w:val="none"/>
          <w:lang w:eastAsia="zh-CN"/>
        </w:rPr>
        <w:t>》，</w:t>
      </w:r>
      <w:bookmarkStart w:id="1" w:name="OLE_LINK2"/>
      <w:r>
        <w:rPr>
          <w:rFonts w:hint="eastAsia" w:ascii="等线" w:hAnsi="等线" w:eastAsia="等线" w:cs="Times New Roman"/>
          <w:sz w:val="28"/>
          <w:szCs w:val="28"/>
          <w:highlight w:val="none"/>
          <w:lang w:val="en-US" w:eastAsia="zh-CN"/>
        </w:rPr>
        <w:t>国际检验医学</w:t>
      </w:r>
      <w:bookmarkEnd w:id="1"/>
      <w:r>
        <w:rPr>
          <w:rFonts w:hint="eastAsia" w:ascii="等线" w:hAnsi="等线" w:eastAsia="等线" w:cs="Times New Roman"/>
          <w:sz w:val="28"/>
          <w:szCs w:val="28"/>
          <w:highlight w:val="none"/>
          <w:lang w:val="en-US" w:eastAsia="zh-CN"/>
        </w:rPr>
        <w:t>2021，42（9）： 1041-1045，第一作者；</w:t>
      </w:r>
    </w:p>
    <w:p w14:paraId="0A444255">
      <w:pPr>
        <w:numPr>
          <w:ilvl w:val="0"/>
          <w:numId w:val="2"/>
        </w:numPr>
        <w:ind w:left="0" w:leftChars="0" w:firstLine="0" w:firstLineChars="0"/>
        <w:rPr>
          <w:rFonts w:hint="eastAsia" w:ascii="等线" w:hAnsi="等线" w:eastAsia="等线" w:cs="Times New Roman"/>
          <w:sz w:val="28"/>
          <w:szCs w:val="28"/>
          <w:highlight w:val="none"/>
          <w:lang w:val="en-US" w:eastAsia="zh-CN"/>
        </w:rPr>
      </w:pPr>
      <w:r>
        <w:rPr>
          <w:rFonts w:hint="eastAsia" w:ascii="等线" w:hAnsi="等线" w:eastAsia="等线" w:cs="Times New Roman"/>
          <w:sz w:val="28"/>
          <w:szCs w:val="28"/>
          <w:highlight w:val="none"/>
          <w:lang w:val="en-US" w:eastAsia="zh-CN"/>
        </w:rPr>
        <w:t xml:space="preserve"> 2021.07科技核心期刊论著《</w:t>
      </w:r>
      <w:bookmarkStart w:id="2" w:name="OLE_LINK3"/>
      <w:r>
        <w:rPr>
          <w:rFonts w:hint="default" w:ascii="等线" w:hAnsi="等线" w:eastAsia="等线" w:cs="Times New Roman"/>
          <w:sz w:val="28"/>
          <w:szCs w:val="28"/>
          <w:highlight w:val="none"/>
          <w:lang w:val="en-US" w:eastAsia="zh-CN"/>
        </w:rPr>
        <w:t>miR-21</w:t>
      </w:r>
      <w:r>
        <w:rPr>
          <w:rFonts w:hint="eastAsia" w:ascii="等线" w:hAnsi="等线" w:eastAsia="等线" w:cs="Times New Roman"/>
          <w:sz w:val="28"/>
          <w:szCs w:val="28"/>
          <w:highlight w:val="none"/>
          <w:lang w:val="en-US" w:eastAsia="zh-CN"/>
        </w:rPr>
        <w:t>通过激活PI3K/Akt信号通路对缺氧诱导的大鼠心肌细胞活性的作用机制</w:t>
      </w:r>
      <w:bookmarkEnd w:id="2"/>
      <w:r>
        <w:rPr>
          <w:rFonts w:hint="eastAsia" w:ascii="等线" w:hAnsi="等线" w:eastAsia="等线" w:cs="Times New Roman"/>
          <w:sz w:val="28"/>
          <w:szCs w:val="28"/>
          <w:highlight w:val="none"/>
          <w:lang w:val="en-US" w:eastAsia="zh-CN"/>
        </w:rPr>
        <w:t>》，重庆医学2021，50（13）：</w:t>
      </w:r>
      <w:bookmarkStart w:id="3" w:name="OLE_LINK4"/>
      <w:r>
        <w:rPr>
          <w:rFonts w:hint="eastAsia" w:ascii="等线" w:hAnsi="等线" w:eastAsia="等线" w:cs="Times New Roman"/>
          <w:sz w:val="28"/>
          <w:szCs w:val="28"/>
          <w:highlight w:val="none"/>
          <w:lang w:val="en-US" w:eastAsia="zh-CN"/>
        </w:rPr>
        <w:t>2165</w:t>
      </w:r>
      <w:bookmarkEnd w:id="3"/>
      <w:r>
        <w:rPr>
          <w:rFonts w:hint="eastAsia" w:ascii="等线" w:hAnsi="等线" w:eastAsia="等线" w:cs="Times New Roman"/>
          <w:sz w:val="28"/>
          <w:szCs w:val="28"/>
          <w:highlight w:val="none"/>
          <w:lang w:val="en-US" w:eastAsia="zh-CN"/>
        </w:rPr>
        <w:t>-2170，第一作者；</w:t>
      </w:r>
    </w:p>
    <w:p w14:paraId="7D858F34">
      <w:pPr>
        <w:rPr>
          <w:rFonts w:hint="eastAsia"/>
          <w:b/>
          <w:bCs/>
          <w:sz w:val="28"/>
          <w:szCs w:val="36"/>
          <w:highlight w:val="none"/>
          <w:lang w:eastAsia="zh-CN"/>
        </w:rPr>
      </w:pPr>
      <w:r>
        <w:rPr>
          <w:rFonts w:hint="eastAsia"/>
          <w:b/>
          <w:bCs/>
          <w:sz w:val="28"/>
          <w:szCs w:val="36"/>
          <w:highlight w:val="none"/>
          <w:lang w:eastAsia="zh-CN"/>
        </w:rPr>
        <w:t>课题：</w:t>
      </w:r>
    </w:p>
    <w:p w14:paraId="2B86ADE1">
      <w:pPr>
        <w:numPr>
          <w:ilvl w:val="0"/>
          <w:numId w:val="3"/>
        </w:numPr>
        <w:rPr>
          <w:rFonts w:hint="eastAsia"/>
          <w:sz w:val="28"/>
          <w:szCs w:val="36"/>
          <w:highlight w:val="none"/>
          <w:lang w:eastAsia="zh-CN"/>
        </w:rPr>
      </w:pPr>
      <w:r>
        <w:rPr>
          <w:rFonts w:hint="eastAsia"/>
          <w:sz w:val="28"/>
          <w:szCs w:val="36"/>
          <w:highlight w:val="none"/>
          <w:lang w:val="en-US" w:eastAsia="zh-CN"/>
        </w:rPr>
        <w:t xml:space="preserve"> </w:t>
      </w:r>
      <w:r>
        <w:rPr>
          <w:rFonts w:hint="eastAsia"/>
          <w:sz w:val="28"/>
          <w:szCs w:val="36"/>
          <w:highlight w:val="none"/>
          <w:lang w:eastAsia="zh-CN"/>
        </w:rPr>
        <w:t>20</w:t>
      </w:r>
      <w:r>
        <w:rPr>
          <w:rFonts w:hint="eastAsia"/>
          <w:sz w:val="28"/>
          <w:szCs w:val="36"/>
          <w:highlight w:val="none"/>
          <w:lang w:eastAsia="zh-CN"/>
        </w:rPr>
        <w:t xml:space="preserve">20.06-2020.10 </w:t>
      </w:r>
      <w:r>
        <w:rPr>
          <w:rFonts w:hint="eastAsia"/>
          <w:b/>
          <w:bCs/>
          <w:sz w:val="28"/>
          <w:szCs w:val="36"/>
          <w:highlight w:val="none"/>
          <w:lang w:eastAsia="zh-CN"/>
        </w:rPr>
        <w:t>主持</w:t>
      </w:r>
      <w:r>
        <w:rPr>
          <w:rFonts w:hint="eastAsia"/>
          <w:sz w:val="28"/>
          <w:szCs w:val="36"/>
          <w:highlight w:val="none"/>
          <w:lang w:eastAsia="zh-CN"/>
        </w:rPr>
        <w:t>上海市高职高专教学研究会教师教改资助项目，《基于大健康产业发展需求的高职大健康专业群建设模式探索》（项目编号：A-ZH-2020-004），结题；</w:t>
      </w:r>
    </w:p>
    <w:p w14:paraId="58F94474">
      <w:pPr>
        <w:numPr>
          <w:ilvl w:val="0"/>
          <w:numId w:val="3"/>
        </w:numPr>
        <w:ind w:left="0" w:leftChars="0" w:firstLine="0" w:firstLineChars="0"/>
        <w:rPr>
          <w:rFonts w:hint="eastAsia"/>
          <w:sz w:val="28"/>
          <w:szCs w:val="36"/>
          <w:highlight w:val="none"/>
          <w:lang w:eastAsia="zh-CN"/>
        </w:rPr>
      </w:pPr>
      <w:r>
        <w:rPr>
          <w:rFonts w:hint="eastAsia"/>
          <w:sz w:val="28"/>
          <w:szCs w:val="36"/>
          <w:highlight w:val="none"/>
          <w:lang w:val="en-US" w:eastAsia="zh-CN"/>
        </w:rPr>
        <w:t xml:space="preserve"> </w:t>
      </w:r>
      <w:r>
        <w:rPr>
          <w:rFonts w:hint="eastAsia"/>
          <w:sz w:val="28"/>
          <w:szCs w:val="36"/>
          <w:highlight w:val="none"/>
          <w:lang w:eastAsia="zh-CN"/>
        </w:rPr>
        <w:t xml:space="preserve">2019.12-2022.04 </w:t>
      </w:r>
      <w:r>
        <w:rPr>
          <w:rFonts w:hint="eastAsia"/>
          <w:b/>
          <w:bCs/>
          <w:sz w:val="28"/>
          <w:szCs w:val="36"/>
          <w:highlight w:val="none"/>
          <w:lang w:eastAsia="zh-CN"/>
        </w:rPr>
        <w:t>主持</w:t>
      </w:r>
      <w:r>
        <w:rPr>
          <w:rFonts w:hint="eastAsia"/>
          <w:sz w:val="28"/>
          <w:szCs w:val="36"/>
          <w:highlight w:val="none"/>
          <w:lang w:eastAsia="zh-CN"/>
        </w:rPr>
        <w:t>上海市高职高专市级专业教学资源库建设示范项目-健康养老服务专业群教学资源库建设（立项文件号：沪教委高〔2020〕40号），上海市教育委员会，验收合格；</w:t>
      </w:r>
    </w:p>
    <w:p w14:paraId="66A21854">
      <w:pPr>
        <w:numPr>
          <w:ilvl w:val="0"/>
          <w:numId w:val="3"/>
        </w:numPr>
        <w:ind w:left="0" w:leftChars="0" w:firstLine="0" w:firstLineChars="0"/>
        <w:rPr>
          <w:rFonts w:hint="eastAsia"/>
          <w:sz w:val="28"/>
          <w:szCs w:val="36"/>
          <w:highlight w:val="none"/>
          <w:lang w:eastAsia="zh-CN"/>
        </w:rPr>
      </w:pPr>
      <w:r>
        <w:rPr>
          <w:rFonts w:hint="eastAsia"/>
          <w:sz w:val="28"/>
          <w:szCs w:val="36"/>
          <w:highlight w:val="none"/>
          <w:lang w:val="en-US" w:eastAsia="zh-CN"/>
        </w:rPr>
        <w:t xml:space="preserve"> </w:t>
      </w:r>
      <w:r>
        <w:rPr>
          <w:rFonts w:hint="eastAsia"/>
          <w:sz w:val="28"/>
          <w:szCs w:val="36"/>
          <w:highlight w:val="none"/>
          <w:lang w:eastAsia="zh-CN"/>
        </w:rPr>
        <w:t xml:space="preserve">2021.11-2023.10 </w:t>
      </w:r>
      <w:r>
        <w:rPr>
          <w:rFonts w:hint="eastAsia"/>
          <w:b/>
          <w:bCs/>
          <w:sz w:val="28"/>
          <w:szCs w:val="36"/>
          <w:highlight w:val="none"/>
          <w:lang w:eastAsia="zh-CN"/>
        </w:rPr>
        <w:t>主持</w:t>
      </w:r>
      <w:r>
        <w:rPr>
          <w:rFonts w:hint="eastAsia"/>
          <w:sz w:val="28"/>
          <w:szCs w:val="36"/>
          <w:highlight w:val="none"/>
          <w:lang w:eastAsia="zh-CN"/>
        </w:rPr>
        <w:t>虹口区教育科学研究重点项目：《“托幼一体化”背景下五年一贯制婴幼儿托育服务与管理人才培养模式研究》（项目编号：A21054）结项：</w:t>
      </w:r>
    </w:p>
    <w:p w14:paraId="27524254">
      <w:pPr>
        <w:numPr>
          <w:ilvl w:val="0"/>
          <w:numId w:val="3"/>
        </w:numPr>
        <w:ind w:left="0" w:leftChars="0" w:firstLine="0" w:firstLineChars="0"/>
        <w:rPr>
          <w:rFonts w:hint="eastAsia"/>
          <w:sz w:val="28"/>
          <w:szCs w:val="36"/>
          <w:highlight w:val="none"/>
          <w:lang w:eastAsia="zh-CN"/>
        </w:rPr>
      </w:pPr>
      <w:r>
        <w:rPr>
          <w:rFonts w:hint="eastAsia"/>
          <w:sz w:val="28"/>
          <w:szCs w:val="36"/>
          <w:highlight w:val="none"/>
          <w:lang w:val="en-US" w:eastAsia="zh-CN"/>
        </w:rPr>
        <w:t xml:space="preserve"> </w:t>
      </w:r>
      <w:r>
        <w:rPr>
          <w:rFonts w:hint="eastAsia"/>
          <w:sz w:val="28"/>
          <w:szCs w:val="36"/>
          <w:highlight w:val="none"/>
          <w:lang w:eastAsia="zh-CN"/>
        </w:rPr>
        <w:t>2024.01-2025.</w:t>
      </w:r>
      <w:r>
        <w:rPr>
          <w:rFonts w:hint="eastAsia"/>
          <w:sz w:val="28"/>
          <w:szCs w:val="36"/>
          <w:highlight w:val="none"/>
          <w:lang w:val="en-US" w:eastAsia="zh-CN"/>
        </w:rPr>
        <w:t>09</w:t>
      </w:r>
      <w:r>
        <w:rPr>
          <w:rFonts w:hint="eastAsia"/>
          <w:sz w:val="28"/>
          <w:szCs w:val="36"/>
          <w:highlight w:val="none"/>
          <w:lang w:eastAsia="zh-CN"/>
        </w:rPr>
        <w:t xml:space="preserve"> </w:t>
      </w:r>
      <w:r>
        <w:rPr>
          <w:rFonts w:hint="eastAsia"/>
          <w:b/>
          <w:bCs/>
          <w:sz w:val="28"/>
          <w:szCs w:val="36"/>
          <w:highlight w:val="none"/>
          <w:lang w:eastAsia="zh-CN"/>
        </w:rPr>
        <w:t>主持</w:t>
      </w:r>
      <w:r>
        <w:rPr>
          <w:rFonts w:hint="eastAsia"/>
          <w:sz w:val="28"/>
          <w:szCs w:val="36"/>
          <w:highlight w:val="none"/>
          <w:lang w:eastAsia="zh-CN"/>
        </w:rPr>
        <w:t>建设上海市在线开放课程《儿童护理》；</w:t>
      </w:r>
    </w:p>
    <w:p w14:paraId="76BECAB9">
      <w:pPr>
        <w:numPr>
          <w:ilvl w:val="0"/>
          <w:numId w:val="3"/>
        </w:numPr>
        <w:ind w:left="0" w:leftChars="0" w:firstLine="0" w:firstLineChars="0"/>
        <w:rPr>
          <w:rFonts w:hint="eastAsia"/>
          <w:sz w:val="28"/>
          <w:szCs w:val="36"/>
          <w:highlight w:val="none"/>
          <w:lang w:eastAsia="zh-CN"/>
        </w:rPr>
      </w:pPr>
      <w:r>
        <w:rPr>
          <w:rFonts w:hint="eastAsia"/>
          <w:sz w:val="28"/>
          <w:szCs w:val="36"/>
          <w:highlight w:val="none"/>
          <w:lang w:val="en-US" w:eastAsia="zh-CN"/>
        </w:rPr>
        <w:t xml:space="preserve"> </w:t>
      </w:r>
      <w:r>
        <w:rPr>
          <w:rFonts w:hint="eastAsia"/>
          <w:sz w:val="28"/>
          <w:szCs w:val="36"/>
          <w:highlight w:val="none"/>
          <w:lang w:eastAsia="zh-CN"/>
        </w:rPr>
        <w:t>2024.05“产教融合背景下现代健康产业学院建设实践”获上海市教委2023年产教融合校企合作案例评选三等奖</w:t>
      </w:r>
    </w:p>
    <w:p w14:paraId="7F85C549">
      <w:pPr>
        <w:numPr>
          <w:ilvl w:val="0"/>
          <w:numId w:val="3"/>
        </w:numPr>
        <w:ind w:left="0" w:leftChars="0" w:firstLine="0" w:firstLineChars="0"/>
        <w:rPr>
          <w:rFonts w:hint="eastAsia"/>
          <w:sz w:val="28"/>
          <w:szCs w:val="36"/>
          <w:highlight w:val="none"/>
          <w:lang w:eastAsia="zh-CN"/>
        </w:rPr>
      </w:pPr>
      <w:r>
        <w:rPr>
          <w:rFonts w:hint="eastAsia"/>
          <w:sz w:val="28"/>
          <w:szCs w:val="36"/>
          <w:highlight w:val="none"/>
          <w:lang w:val="en-US" w:eastAsia="zh-CN"/>
        </w:rPr>
        <w:t xml:space="preserve"> </w:t>
      </w:r>
      <w:r>
        <w:rPr>
          <w:rFonts w:hint="eastAsia"/>
          <w:sz w:val="28"/>
          <w:szCs w:val="36"/>
          <w:highlight w:val="none"/>
          <w:lang w:eastAsia="zh-CN"/>
        </w:rPr>
        <w:t>2024.05</w:t>
      </w:r>
      <w:r>
        <w:rPr>
          <w:rFonts w:hint="eastAsia"/>
          <w:sz w:val="28"/>
          <w:szCs w:val="36"/>
          <w:highlight w:val="none"/>
          <w:lang w:eastAsia="zh-CN"/>
        </w:rPr>
        <w:tab/>
      </w:r>
      <w:r>
        <w:rPr>
          <w:rFonts w:hint="eastAsia"/>
          <w:sz w:val="28"/>
          <w:szCs w:val="36"/>
          <w:highlight w:val="none"/>
          <w:lang w:eastAsia="zh-CN"/>
        </w:rPr>
        <w:t>参与上海市教委中等职业学校教改课题--《五年一贯制现代学徒制人才培养模式改革实践-华山医院合作班》（课题编号：2023K-01）</w:t>
      </w:r>
    </w:p>
    <w:p w14:paraId="12091BA4">
      <w:pPr>
        <w:numPr>
          <w:ilvl w:val="0"/>
          <w:numId w:val="3"/>
        </w:numPr>
        <w:ind w:left="0" w:leftChars="0" w:firstLine="0" w:firstLineChars="0"/>
        <w:rPr>
          <w:rFonts w:hint="eastAsia"/>
          <w:sz w:val="28"/>
          <w:szCs w:val="36"/>
          <w:highlight w:val="none"/>
          <w:lang w:eastAsia="zh-CN"/>
        </w:rPr>
      </w:pPr>
      <w:r>
        <w:rPr>
          <w:rFonts w:hint="eastAsia"/>
          <w:sz w:val="28"/>
          <w:szCs w:val="36"/>
          <w:highlight w:val="none"/>
          <w:lang w:val="en-US" w:eastAsia="zh-CN"/>
        </w:rPr>
        <w:t xml:space="preserve"> </w:t>
      </w:r>
      <w:r>
        <w:rPr>
          <w:rFonts w:hint="eastAsia"/>
          <w:sz w:val="28"/>
          <w:szCs w:val="36"/>
          <w:highlight w:val="none"/>
          <w:lang w:eastAsia="zh-CN"/>
        </w:rPr>
        <w:t xml:space="preserve">2023.10-2025.10 </w:t>
      </w:r>
      <w:r>
        <w:rPr>
          <w:rFonts w:hint="eastAsia"/>
          <w:b/>
          <w:bCs/>
          <w:sz w:val="28"/>
          <w:szCs w:val="36"/>
          <w:highlight w:val="none"/>
          <w:lang w:eastAsia="zh-CN"/>
        </w:rPr>
        <w:t>主持</w:t>
      </w:r>
      <w:r>
        <w:rPr>
          <w:rFonts w:hint="eastAsia"/>
          <w:sz w:val="28"/>
          <w:szCs w:val="36"/>
          <w:highlight w:val="none"/>
          <w:lang w:eastAsia="zh-CN"/>
        </w:rPr>
        <w:t>建设上海市首批职业教育现代产业学院-现代健康产业学院（沪教委职〔2023〕44号）；</w:t>
      </w:r>
    </w:p>
    <w:p w14:paraId="167549B3">
      <w:pPr>
        <w:numPr>
          <w:ilvl w:val="0"/>
          <w:numId w:val="3"/>
        </w:numPr>
        <w:ind w:left="0" w:leftChars="0" w:firstLine="0" w:firstLineChars="0"/>
        <w:rPr>
          <w:rFonts w:hint="eastAsia"/>
          <w:sz w:val="28"/>
          <w:szCs w:val="36"/>
          <w:highlight w:val="none"/>
          <w:lang w:eastAsia="zh-CN"/>
        </w:rPr>
      </w:pPr>
      <w:r>
        <w:rPr>
          <w:rFonts w:hint="eastAsia"/>
          <w:sz w:val="28"/>
          <w:szCs w:val="36"/>
          <w:highlight w:val="none"/>
          <w:lang w:val="en-US" w:eastAsia="zh-CN"/>
        </w:rPr>
        <w:t xml:space="preserve"> </w:t>
      </w:r>
      <w:r>
        <w:rPr>
          <w:rFonts w:hint="eastAsia"/>
          <w:sz w:val="28"/>
          <w:szCs w:val="36"/>
          <w:highlight w:val="none"/>
          <w:lang w:eastAsia="zh-CN"/>
        </w:rPr>
        <w:t xml:space="preserve">2024.08-2026.08 </w:t>
      </w:r>
      <w:r>
        <w:rPr>
          <w:rFonts w:hint="eastAsia"/>
          <w:b/>
          <w:bCs/>
          <w:sz w:val="28"/>
          <w:szCs w:val="36"/>
          <w:highlight w:val="none"/>
          <w:lang w:eastAsia="zh-CN"/>
        </w:rPr>
        <w:t>主持</w:t>
      </w:r>
      <w:r>
        <w:rPr>
          <w:rFonts w:hint="eastAsia"/>
          <w:sz w:val="28"/>
          <w:szCs w:val="36"/>
          <w:highlight w:val="none"/>
          <w:lang w:eastAsia="zh-CN"/>
        </w:rPr>
        <w:t>第四批上海市教委示范性专业教学资源库建设-护理专业教学资源库（立项文件号：沪教委高〔2024〕32号），上海市教育委员会；</w:t>
      </w:r>
    </w:p>
    <w:p w14:paraId="77DBA999">
      <w:pPr>
        <w:numPr>
          <w:ilvl w:val="0"/>
          <w:numId w:val="3"/>
        </w:numPr>
        <w:ind w:left="0" w:leftChars="0" w:firstLine="0" w:firstLineChars="0"/>
        <w:rPr>
          <w:rFonts w:hint="eastAsia"/>
          <w:sz w:val="28"/>
          <w:szCs w:val="36"/>
          <w:highlight w:val="none"/>
          <w:lang w:eastAsia="zh-CN"/>
        </w:rPr>
      </w:pPr>
      <w:r>
        <w:rPr>
          <w:rFonts w:hint="eastAsia"/>
          <w:sz w:val="28"/>
          <w:szCs w:val="36"/>
          <w:highlight w:val="none"/>
          <w:lang w:val="en-US" w:eastAsia="zh-CN"/>
        </w:rPr>
        <w:t xml:space="preserve"> </w:t>
      </w:r>
      <w:r>
        <w:rPr>
          <w:rFonts w:hint="eastAsia"/>
          <w:sz w:val="28"/>
          <w:szCs w:val="36"/>
          <w:highlight w:val="none"/>
          <w:lang w:eastAsia="zh-CN"/>
        </w:rPr>
        <w:t>2024.11 作为第一完成人“通专结合、专创联合、德技融合”护理人才现代学徒制培养模式创新与实践获评虹口区优秀教学成果奖特等奖</w:t>
      </w:r>
    </w:p>
    <w:p w14:paraId="237E4FA1">
      <w:pPr>
        <w:numPr>
          <w:ilvl w:val="0"/>
          <w:numId w:val="3"/>
        </w:numPr>
        <w:ind w:left="0" w:leftChars="0" w:firstLine="0" w:firstLineChars="0"/>
        <w:rPr>
          <w:rFonts w:hint="eastAsia"/>
          <w:sz w:val="28"/>
          <w:szCs w:val="36"/>
          <w:highlight w:val="none"/>
          <w:lang w:eastAsia="zh-CN"/>
        </w:rPr>
      </w:pPr>
      <w:r>
        <w:rPr>
          <w:rFonts w:hint="eastAsia"/>
          <w:sz w:val="28"/>
          <w:szCs w:val="36"/>
          <w:highlight w:val="none"/>
          <w:lang w:val="en-US" w:eastAsia="zh-CN"/>
        </w:rPr>
        <w:t xml:space="preserve"> </w:t>
      </w:r>
      <w:r>
        <w:rPr>
          <w:rFonts w:hint="eastAsia"/>
          <w:sz w:val="28"/>
          <w:szCs w:val="36"/>
          <w:highlight w:val="none"/>
          <w:lang w:eastAsia="zh-CN"/>
        </w:rPr>
        <w:t xml:space="preserve">2025.05-2026.05 </w:t>
      </w:r>
      <w:r>
        <w:rPr>
          <w:rFonts w:hint="eastAsia"/>
          <w:b/>
          <w:bCs/>
          <w:sz w:val="28"/>
          <w:szCs w:val="36"/>
          <w:highlight w:val="none"/>
          <w:lang w:eastAsia="zh-CN"/>
        </w:rPr>
        <w:t>主持</w:t>
      </w:r>
      <w:r>
        <w:rPr>
          <w:rFonts w:hint="eastAsia"/>
          <w:sz w:val="28"/>
          <w:szCs w:val="36"/>
          <w:highlight w:val="none"/>
          <w:lang w:eastAsia="zh-CN"/>
        </w:rPr>
        <w:t>2025年上海市中等职业学校课程与教学改革研究课题——“国控专业”背景下五年一贯护理人才现代学徒制培养创新与实践（</w:t>
      </w:r>
      <w:r>
        <w:rPr>
          <w:rFonts w:hint="eastAsia"/>
          <w:sz w:val="28"/>
          <w:szCs w:val="36"/>
          <w:highlight w:val="none"/>
          <w:lang w:val="en-US" w:eastAsia="zh-CN"/>
        </w:rPr>
        <w:t>课题编号：2025K-03</w:t>
      </w:r>
      <w:r>
        <w:rPr>
          <w:rFonts w:hint="eastAsia"/>
          <w:sz w:val="28"/>
          <w:szCs w:val="36"/>
          <w:highlight w:val="none"/>
          <w:lang w:eastAsia="zh-CN"/>
        </w:rPr>
        <w:t>）</w:t>
      </w:r>
    </w:p>
    <w:p w14:paraId="64366865">
      <w:pPr>
        <w:numPr>
          <w:ilvl w:val="0"/>
          <w:numId w:val="3"/>
        </w:numPr>
        <w:ind w:left="0" w:leftChars="0" w:firstLine="0" w:firstLineChars="0"/>
        <w:rPr>
          <w:rFonts w:hint="eastAsia"/>
          <w:sz w:val="28"/>
          <w:szCs w:val="36"/>
          <w:highlight w:val="none"/>
          <w:lang w:val="en-US" w:eastAsia="zh-CN"/>
        </w:rPr>
      </w:pPr>
      <w:r>
        <w:rPr>
          <w:rFonts w:hint="eastAsia"/>
          <w:sz w:val="28"/>
          <w:szCs w:val="36"/>
          <w:highlight w:val="none"/>
          <w:lang w:val="en-US" w:eastAsia="zh-CN"/>
        </w:rPr>
        <w:t xml:space="preserve"> 2026年  参与教育部国家职业学校专业（类</w:t>
      </w:r>
      <w:r>
        <w:rPr>
          <w:rFonts w:hint="eastAsia"/>
          <w:sz w:val="28"/>
          <w:szCs w:val="36"/>
          <w:highlight w:val="none"/>
          <w:lang w:val="en-US" w:eastAsia="zh-CN"/>
        </w:rPr>
        <w:t>）实训教学条件建设标准研制，担任护理专业工作组专家</w:t>
      </w:r>
    </w:p>
    <w:p w14:paraId="38044562">
      <w:pPr>
        <w:numPr>
          <w:ilvl w:val="0"/>
          <w:numId w:val="3"/>
        </w:numPr>
        <w:ind w:left="0" w:leftChars="0" w:firstLine="0" w:firstLineChars="0"/>
        <w:rPr>
          <w:rFonts w:hint="default"/>
          <w:sz w:val="28"/>
          <w:szCs w:val="36"/>
          <w:highlight w:val="none"/>
          <w:lang w:val="en-US" w:eastAsia="zh-CN"/>
        </w:rPr>
      </w:pPr>
      <w:r>
        <w:rPr>
          <w:rFonts w:hint="eastAsia"/>
          <w:sz w:val="28"/>
          <w:szCs w:val="36"/>
          <w:highlight w:val="none"/>
          <w:lang w:val="en-US" w:eastAsia="zh-CN"/>
        </w:rPr>
        <w:t xml:space="preserve"> 2026年  主持院级重点课题《基于“双高计划”的高职院校健康护理学院党建带团建育人模式创新研究》</w:t>
      </w:r>
    </w:p>
    <w:p w14:paraId="5975C881">
      <w:pPr>
        <w:rPr>
          <w:rFonts w:hint="eastAsia"/>
          <w:sz w:val="28"/>
          <w:szCs w:val="36"/>
          <w:highlight w:val="none"/>
          <w:lang w:eastAsia="zh-CN"/>
        </w:rPr>
      </w:pPr>
      <w:bookmarkStart w:id="4" w:name="_GoBack"/>
      <w:bookmarkEnd w:id="4"/>
    </w:p>
    <w:p w14:paraId="51A447B6">
      <w:pPr>
        <w:rPr>
          <w:rFonts w:hint="eastAsia"/>
          <w:b/>
          <w:bCs/>
          <w:sz w:val="28"/>
          <w:szCs w:val="36"/>
          <w:highlight w:val="none"/>
          <w:lang w:eastAsia="zh-CN"/>
        </w:rPr>
      </w:pPr>
      <w:r>
        <w:rPr>
          <w:rFonts w:hint="eastAsia"/>
          <w:b/>
          <w:bCs/>
          <w:sz w:val="28"/>
          <w:szCs w:val="36"/>
          <w:highlight w:val="none"/>
          <w:lang w:eastAsia="zh-CN"/>
        </w:rPr>
        <w:t>教材：</w:t>
      </w:r>
    </w:p>
    <w:p w14:paraId="149EA083">
      <w:pPr>
        <w:rPr>
          <w:rFonts w:hint="default"/>
          <w:sz w:val="28"/>
          <w:szCs w:val="36"/>
          <w:highlight w:val="none"/>
          <w:lang w:val="en-US" w:eastAsia="zh-CN"/>
        </w:rPr>
      </w:pPr>
      <w:r>
        <w:rPr>
          <w:rFonts w:hint="eastAsia"/>
          <w:sz w:val="28"/>
          <w:szCs w:val="36"/>
          <w:highlight w:val="none"/>
          <w:lang w:eastAsia="zh-CN"/>
        </w:rPr>
        <w:t>2026.04主编《实用临床护理教程（上）》，</w:t>
      </w:r>
      <w:r>
        <w:rPr>
          <w:rFonts w:hint="eastAsia"/>
          <w:sz w:val="28"/>
          <w:szCs w:val="36"/>
          <w:highlight w:val="none"/>
          <w:lang w:val="en-US" w:eastAsia="zh-CN"/>
        </w:rPr>
        <w:t>上海交通大学出版社</w:t>
      </w:r>
    </w:p>
    <w:p w14:paraId="3F9035CC">
      <w:pPr>
        <w:rPr>
          <w:rFonts w:hint="default"/>
          <w:sz w:val="28"/>
          <w:szCs w:val="36"/>
          <w:highlight w:val="none"/>
          <w:lang w:val="en-US" w:eastAsia="zh-CN"/>
        </w:rPr>
      </w:pPr>
      <w:r>
        <w:rPr>
          <w:rFonts w:hint="eastAsia"/>
          <w:sz w:val="28"/>
          <w:szCs w:val="36"/>
          <w:highlight w:val="none"/>
          <w:lang w:eastAsia="zh-CN"/>
        </w:rPr>
        <w:t>2025.11专著《大学生就业与创新创业基础研究》，</w:t>
      </w:r>
      <w:r>
        <w:rPr>
          <w:rFonts w:hint="eastAsia"/>
          <w:sz w:val="28"/>
          <w:szCs w:val="36"/>
          <w:highlight w:val="none"/>
          <w:lang w:val="en-US" w:eastAsia="zh-CN"/>
        </w:rPr>
        <w:t>4/5</w:t>
      </w:r>
    </w:p>
    <w:p w14:paraId="5D15711B">
      <w:pPr>
        <w:rPr>
          <w:rFonts w:hint="default"/>
          <w:sz w:val="28"/>
          <w:szCs w:val="36"/>
          <w:highlight w:val="none"/>
          <w:lang w:val="en-US" w:eastAsia="zh-CN"/>
        </w:rPr>
      </w:pPr>
      <w:r>
        <w:rPr>
          <w:rFonts w:hint="eastAsia"/>
          <w:sz w:val="28"/>
          <w:szCs w:val="36"/>
          <w:highlight w:val="none"/>
          <w:lang w:eastAsia="zh-CN"/>
        </w:rPr>
        <w:t>2025.08副主编《健康大数据分析基础及Python应用》，</w:t>
      </w:r>
      <w:r>
        <w:rPr>
          <w:rFonts w:hint="eastAsia"/>
          <w:sz w:val="28"/>
          <w:szCs w:val="36"/>
          <w:highlight w:val="none"/>
          <w:lang w:val="en-US" w:eastAsia="zh-CN"/>
        </w:rPr>
        <w:t>湖南科学技术出版社</w:t>
      </w:r>
    </w:p>
    <w:p w14:paraId="4891F44F">
      <w:pPr>
        <w:rPr>
          <w:rFonts w:hint="default"/>
          <w:sz w:val="28"/>
          <w:szCs w:val="36"/>
          <w:highlight w:val="none"/>
          <w:lang w:val="en-US" w:eastAsia="zh-CN"/>
        </w:rPr>
      </w:pPr>
      <w:r>
        <w:rPr>
          <w:rFonts w:hint="eastAsia"/>
          <w:sz w:val="28"/>
          <w:szCs w:val="36"/>
          <w:highlight w:val="none"/>
          <w:lang w:eastAsia="zh-CN"/>
        </w:rPr>
        <w:t>2025.12</w:t>
      </w:r>
      <w:r>
        <w:rPr>
          <w:rFonts w:hint="eastAsia"/>
          <w:sz w:val="28"/>
          <w:szCs w:val="36"/>
          <w:highlight w:val="none"/>
          <w:lang w:val="en-US" w:eastAsia="zh-CN"/>
        </w:rPr>
        <w:t>参编《</w:t>
      </w:r>
      <w:r>
        <w:rPr>
          <w:rFonts w:hint="eastAsia"/>
          <w:sz w:val="28"/>
          <w:szCs w:val="36"/>
          <w:highlight w:val="none"/>
          <w:lang w:eastAsia="zh-CN"/>
        </w:rPr>
        <w:t>上海市中等职业教育专业课程思政教学指导意见</w:t>
      </w:r>
      <w:r>
        <w:rPr>
          <w:rFonts w:hint="eastAsia"/>
          <w:sz w:val="28"/>
          <w:szCs w:val="36"/>
          <w:highlight w:val="none"/>
          <w:lang w:val="en-US" w:eastAsia="zh-CN"/>
        </w:rPr>
        <w:t>》，华东师范大学出版社</w:t>
      </w:r>
    </w:p>
    <w:p w14:paraId="4BA50C9F">
      <w:pPr>
        <w:rPr>
          <w:rFonts w:hint="default"/>
          <w:sz w:val="28"/>
          <w:szCs w:val="36"/>
          <w:highlight w:val="none"/>
          <w:lang w:val="en-US" w:eastAsia="zh-CN"/>
        </w:rPr>
      </w:pPr>
      <w:r>
        <w:rPr>
          <w:rFonts w:hint="eastAsia"/>
          <w:sz w:val="28"/>
          <w:szCs w:val="36"/>
          <w:highlight w:val="none"/>
          <w:lang w:eastAsia="zh-CN"/>
        </w:rPr>
        <w:t>2024.05副主编《民航客舱服务与技能》，</w:t>
      </w:r>
      <w:r>
        <w:rPr>
          <w:rFonts w:hint="eastAsia"/>
          <w:sz w:val="28"/>
          <w:szCs w:val="36"/>
          <w:highlight w:val="none"/>
          <w:lang w:val="en-US" w:eastAsia="zh-CN"/>
        </w:rPr>
        <w:t>中国人民大学出版社</w:t>
      </w:r>
    </w:p>
    <w:p w14:paraId="09B56DE1">
      <w:pPr>
        <w:rPr>
          <w:rFonts w:hint="eastAsia"/>
          <w:sz w:val="28"/>
          <w:szCs w:val="36"/>
          <w:highlight w:val="none"/>
          <w:lang w:eastAsia="zh-CN"/>
        </w:rPr>
      </w:pPr>
      <w:r>
        <w:rPr>
          <w:rFonts w:hint="eastAsia"/>
          <w:sz w:val="28"/>
          <w:szCs w:val="36"/>
          <w:highlight w:val="none"/>
          <w:lang w:eastAsia="zh-CN"/>
        </w:rPr>
        <w:t>2023.05 副主编《新编健康评估考题解析》，复旦大学出版社</w:t>
      </w:r>
    </w:p>
    <w:p w14:paraId="2EE31CA7">
      <w:pPr>
        <w:rPr>
          <w:rFonts w:hint="eastAsia"/>
          <w:sz w:val="28"/>
          <w:szCs w:val="36"/>
          <w:highlight w:val="none"/>
          <w:lang w:eastAsia="zh-CN"/>
        </w:rPr>
      </w:pPr>
      <w:r>
        <w:rPr>
          <w:rFonts w:hint="eastAsia"/>
          <w:sz w:val="28"/>
          <w:szCs w:val="36"/>
          <w:highlight w:val="none"/>
          <w:lang w:eastAsia="zh-CN"/>
        </w:rPr>
        <w:t>2021.01 副主编国家级“十四五”规划教材《老年照护》（下册），北京理工大学出版社．（承担写作字数：65691字）</w:t>
      </w:r>
    </w:p>
    <w:p w14:paraId="7B9F44B7">
      <w:pPr>
        <w:rPr>
          <w:rFonts w:hint="eastAsia"/>
          <w:sz w:val="28"/>
          <w:szCs w:val="36"/>
          <w:highlight w:val="none"/>
          <w:lang w:eastAsia="zh-CN"/>
        </w:rPr>
      </w:pPr>
      <w:r>
        <w:rPr>
          <w:rFonts w:hint="eastAsia"/>
          <w:sz w:val="28"/>
          <w:szCs w:val="36"/>
          <w:highlight w:val="none"/>
          <w:lang w:eastAsia="zh-CN"/>
        </w:rPr>
        <w:t>2020.06“十二五”职业教育国家规划教材《内科护理学》第三版，科学出版社ISBN：978-7-03-064888-4，副主编（承担写作字数：46825字）</w:t>
      </w:r>
    </w:p>
    <w:p w14:paraId="7D246659">
      <w:pPr>
        <w:wordWrap w:val="0"/>
        <w:spacing w:before="73" w:after="0" w:line="239" w:lineRule="auto"/>
        <w:jc w:val="both"/>
        <w:rPr>
          <w:rFonts w:hint="eastAsia" w:ascii="宋体" w:hAnsi="宋体" w:eastAsia="宋体" w:cs="Times New Roman"/>
          <w:b/>
          <w:bCs/>
          <w:color w:val="000000"/>
          <w:kern w:val="0"/>
          <w:sz w:val="26"/>
          <w:szCs w:val="22"/>
          <w:highlight w:val="none"/>
        </w:rPr>
      </w:pPr>
    </w:p>
    <w:p w14:paraId="76E940EB">
      <w:pPr>
        <w:wordWrap w:val="0"/>
        <w:spacing w:before="73" w:after="0" w:line="239" w:lineRule="auto"/>
        <w:ind w:firstLine="40"/>
        <w:jc w:val="both"/>
        <w:rPr>
          <w:rFonts w:ascii="Calibri" w:hAnsi="Calibri" w:eastAsia="宋体" w:cs="Times New Roman"/>
          <w:b/>
          <w:bCs/>
          <w:kern w:val="0"/>
          <w:sz w:val="26"/>
          <w:szCs w:val="22"/>
          <w:highlight w:val="none"/>
        </w:rPr>
      </w:pPr>
      <w:r>
        <w:rPr>
          <w:rFonts w:hint="eastAsia" w:ascii="宋体" w:hAnsi="宋体" w:eastAsia="宋体" w:cs="Times New Roman"/>
          <w:b/>
          <w:bCs/>
          <w:color w:val="000000"/>
          <w:kern w:val="0"/>
          <w:sz w:val="26"/>
          <w:szCs w:val="22"/>
          <w:highlight w:val="none"/>
        </w:rPr>
        <w:t>专利：</w:t>
      </w:r>
    </w:p>
    <w:p w14:paraId="2A17D8FD">
      <w:pPr>
        <w:wordWrap w:val="0"/>
        <w:spacing w:before="0" w:after="0" w:line="308" w:lineRule="auto"/>
        <w:ind w:firstLine="0"/>
        <w:jc w:val="both"/>
        <w:rPr>
          <w:rFonts w:hint="eastAsia" w:ascii="宋体" w:hAnsi="宋体" w:eastAsia="宋体" w:cs="Times New Roman"/>
          <w:color w:val="000000"/>
          <w:kern w:val="0"/>
          <w:sz w:val="12"/>
          <w:szCs w:val="22"/>
          <w:highlight w:val="none"/>
        </w:rPr>
      </w:pPr>
    </w:p>
    <w:tbl>
      <w:tblPr>
        <w:tblStyle w:val="2"/>
        <w:tblW w:w="0" w:type="auto"/>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10" w:type="dxa"/>
          <w:bottom w:w="0" w:type="dxa"/>
          <w:right w:w="10" w:type="dxa"/>
        </w:tblCellMar>
      </w:tblPr>
      <w:tblGrid>
        <w:gridCol w:w="2258"/>
        <w:gridCol w:w="1378"/>
        <w:gridCol w:w="2211"/>
        <w:gridCol w:w="1133"/>
        <w:gridCol w:w="1346"/>
      </w:tblGrid>
      <w:tr w14:paraId="215E00B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300" w:hRule="atLeast"/>
        </w:trPr>
        <w:tc>
          <w:tcPr>
            <w:tcW w:w="2258" w:type="dxa"/>
            <w:tcBorders>
              <w:top w:val="single" w:color="000000" w:sz="4" w:space="0"/>
              <w:left w:val="single" w:color="000000" w:sz="4" w:space="0"/>
              <w:bottom w:val="single" w:color="000000" w:sz="4" w:space="0"/>
              <w:right w:val="single" w:color="000000" w:sz="4" w:space="0"/>
            </w:tcBorders>
            <w:vAlign w:val="top"/>
          </w:tcPr>
          <w:p w14:paraId="0874DE8D">
            <w:pPr>
              <w:spacing w:before="0" w:after="0" w:line="192" w:lineRule="auto"/>
              <w:jc w:val="center"/>
              <w:rPr>
                <w:rFonts w:ascii="Calibri" w:hAnsi="Calibri" w:eastAsia="宋体" w:cs="Times New Roman"/>
                <w:kern w:val="0"/>
                <w:sz w:val="26"/>
                <w:szCs w:val="22"/>
                <w:highlight w:val="none"/>
              </w:rPr>
            </w:pPr>
            <w:r>
              <w:rPr>
                <w:rFonts w:hint="eastAsia" w:ascii="宋体" w:hAnsi="宋体" w:eastAsia="宋体" w:cs="Times New Roman"/>
                <w:color w:val="000000"/>
                <w:kern w:val="0"/>
                <w:sz w:val="26"/>
                <w:szCs w:val="22"/>
                <w:highlight w:val="none"/>
              </w:rPr>
              <w:t>名称</w:t>
            </w:r>
          </w:p>
        </w:tc>
        <w:tc>
          <w:tcPr>
            <w:tcW w:w="1378" w:type="dxa"/>
            <w:tcBorders>
              <w:top w:val="single" w:color="000000" w:sz="4" w:space="0"/>
              <w:left w:val="single" w:color="000000" w:sz="4" w:space="0"/>
              <w:bottom w:val="single" w:color="000000" w:sz="4" w:space="0"/>
              <w:right w:val="single" w:color="000000" w:sz="4" w:space="0"/>
            </w:tcBorders>
            <w:vAlign w:val="top"/>
          </w:tcPr>
          <w:p w14:paraId="48EE9A22">
            <w:pPr>
              <w:spacing w:before="0" w:after="0" w:line="192" w:lineRule="auto"/>
              <w:jc w:val="center"/>
              <w:rPr>
                <w:rFonts w:ascii="Calibri" w:hAnsi="Calibri" w:eastAsia="宋体" w:cs="Times New Roman"/>
                <w:kern w:val="0"/>
                <w:sz w:val="26"/>
                <w:szCs w:val="22"/>
                <w:highlight w:val="none"/>
              </w:rPr>
            </w:pPr>
            <w:r>
              <w:rPr>
                <w:rFonts w:hint="eastAsia" w:ascii="宋体" w:hAnsi="宋体" w:eastAsia="宋体" w:cs="Times New Roman"/>
                <w:color w:val="000000"/>
                <w:kern w:val="0"/>
                <w:sz w:val="26"/>
                <w:szCs w:val="22"/>
                <w:highlight w:val="none"/>
              </w:rPr>
              <w:t>类型</w:t>
            </w:r>
          </w:p>
        </w:tc>
        <w:tc>
          <w:tcPr>
            <w:tcW w:w="2211" w:type="dxa"/>
            <w:tcBorders>
              <w:top w:val="single" w:color="000000" w:sz="4" w:space="0"/>
              <w:left w:val="single" w:color="000000" w:sz="4" w:space="0"/>
              <w:bottom w:val="single" w:color="000000" w:sz="4" w:space="0"/>
              <w:right w:val="single" w:color="000000" w:sz="4" w:space="0"/>
            </w:tcBorders>
            <w:vAlign w:val="top"/>
          </w:tcPr>
          <w:p w14:paraId="254A72D5">
            <w:pPr>
              <w:spacing w:before="0" w:after="0" w:line="192" w:lineRule="auto"/>
              <w:jc w:val="center"/>
              <w:rPr>
                <w:rFonts w:ascii="Calibri" w:hAnsi="Calibri" w:eastAsia="宋体" w:cs="Times New Roman"/>
                <w:kern w:val="0"/>
                <w:sz w:val="26"/>
                <w:szCs w:val="22"/>
                <w:highlight w:val="none"/>
              </w:rPr>
            </w:pPr>
            <w:r>
              <w:rPr>
                <w:rFonts w:hint="eastAsia" w:ascii="宋体" w:hAnsi="宋体" w:eastAsia="宋体" w:cs="Times New Roman"/>
                <w:color w:val="000000"/>
                <w:kern w:val="0"/>
                <w:sz w:val="26"/>
                <w:szCs w:val="22"/>
                <w:highlight w:val="none"/>
              </w:rPr>
              <w:t>专利号</w:t>
            </w:r>
          </w:p>
        </w:tc>
        <w:tc>
          <w:tcPr>
            <w:tcW w:w="1133" w:type="dxa"/>
            <w:tcBorders>
              <w:top w:val="single" w:color="000000" w:sz="4" w:space="0"/>
              <w:left w:val="single" w:color="000000" w:sz="4" w:space="0"/>
              <w:bottom w:val="single" w:color="000000" w:sz="4" w:space="0"/>
              <w:right w:val="single" w:color="000000" w:sz="4" w:space="0"/>
            </w:tcBorders>
            <w:vAlign w:val="top"/>
          </w:tcPr>
          <w:p w14:paraId="11E62537">
            <w:pPr>
              <w:spacing w:before="0" w:after="0" w:line="192" w:lineRule="auto"/>
              <w:jc w:val="center"/>
              <w:rPr>
                <w:rFonts w:ascii="Calibri" w:hAnsi="Calibri" w:eastAsia="宋体" w:cs="Times New Roman"/>
                <w:kern w:val="0"/>
                <w:sz w:val="26"/>
                <w:szCs w:val="22"/>
                <w:highlight w:val="none"/>
              </w:rPr>
            </w:pPr>
            <w:r>
              <w:rPr>
                <w:rFonts w:hint="eastAsia" w:ascii="宋体" w:hAnsi="宋体" w:eastAsia="宋体" w:cs="Times New Roman"/>
                <w:color w:val="000000"/>
                <w:kern w:val="0"/>
                <w:sz w:val="26"/>
                <w:szCs w:val="22"/>
                <w:highlight w:val="none"/>
              </w:rPr>
              <w:t>排名</w:t>
            </w:r>
          </w:p>
        </w:tc>
        <w:tc>
          <w:tcPr>
            <w:tcW w:w="1346" w:type="dxa"/>
            <w:tcBorders>
              <w:top w:val="single" w:color="000000" w:sz="4" w:space="0"/>
              <w:left w:val="single" w:color="000000" w:sz="4" w:space="0"/>
              <w:bottom w:val="single" w:color="000000" w:sz="4" w:space="0"/>
              <w:right w:val="single" w:color="000000" w:sz="4" w:space="0"/>
            </w:tcBorders>
            <w:vAlign w:val="top"/>
          </w:tcPr>
          <w:p w14:paraId="719CF3AC">
            <w:pPr>
              <w:spacing w:before="0" w:after="0" w:line="192" w:lineRule="auto"/>
              <w:jc w:val="center"/>
              <w:rPr>
                <w:rFonts w:ascii="Calibri" w:hAnsi="Calibri" w:eastAsia="宋体" w:cs="Times New Roman"/>
                <w:kern w:val="0"/>
                <w:sz w:val="26"/>
                <w:szCs w:val="22"/>
                <w:highlight w:val="none"/>
              </w:rPr>
            </w:pPr>
            <w:r>
              <w:rPr>
                <w:rFonts w:hint="eastAsia" w:ascii="宋体" w:hAnsi="宋体" w:eastAsia="宋体" w:cs="Times New Roman"/>
                <w:color w:val="000000"/>
                <w:kern w:val="0"/>
                <w:sz w:val="26"/>
                <w:szCs w:val="22"/>
                <w:highlight w:val="none"/>
              </w:rPr>
              <w:t>时间</w:t>
            </w:r>
          </w:p>
        </w:tc>
      </w:tr>
      <w:tr w14:paraId="5F1E6AD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720" w:hRule="atLeast"/>
        </w:trPr>
        <w:tc>
          <w:tcPr>
            <w:tcW w:w="2258" w:type="dxa"/>
            <w:tcBorders>
              <w:top w:val="single" w:color="000000" w:sz="4" w:space="0"/>
              <w:left w:val="single" w:color="000000" w:sz="4" w:space="0"/>
              <w:bottom w:val="single" w:color="000000" w:sz="4" w:space="0"/>
              <w:right w:val="single" w:color="000000" w:sz="4" w:space="0"/>
            </w:tcBorders>
            <w:vAlign w:val="top"/>
          </w:tcPr>
          <w:p w14:paraId="0D3B5B8B">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高龄老人VR</w:t>
            </w:r>
          </w:p>
          <w:p w14:paraId="6EB5A5C0">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体验系统</w:t>
            </w:r>
          </w:p>
        </w:tc>
        <w:tc>
          <w:tcPr>
            <w:tcW w:w="1378" w:type="dxa"/>
            <w:tcBorders>
              <w:top w:val="single" w:color="000000" w:sz="4" w:space="0"/>
              <w:left w:val="single" w:color="000000" w:sz="4" w:space="0"/>
              <w:bottom w:val="single" w:color="000000" w:sz="4" w:space="0"/>
              <w:right w:val="single" w:color="000000" w:sz="4" w:space="0"/>
            </w:tcBorders>
            <w:vAlign w:val="top"/>
          </w:tcPr>
          <w:p w14:paraId="1B74D7FC">
            <w:pPr>
              <w:keepNext w:val="0"/>
              <w:keepLines w:val="0"/>
              <w:pageBreakBefore w:val="0"/>
              <w:widowControl w:val="0"/>
              <w:kinsoku/>
              <w:overflowPunct/>
              <w:topLinePunct w:val="0"/>
              <w:autoSpaceDE/>
              <w:autoSpaceDN/>
              <w:bidi w:val="0"/>
              <w:adjustRightInd/>
              <w:snapToGrid/>
              <w:spacing w:before="172" w:after="0" w:line="400" w:lineRule="exact"/>
              <w:jc w:val="center"/>
              <w:textAlignment w:val="auto"/>
              <w:rPr>
                <w:rFonts w:ascii="Calibri" w:hAnsi="Calibri" w:eastAsia="宋体" w:cs="Times New Roman"/>
                <w:kern w:val="0"/>
                <w:sz w:val="26"/>
                <w:szCs w:val="22"/>
                <w:highlight w:val="none"/>
              </w:rPr>
            </w:pPr>
            <w:r>
              <w:rPr>
                <w:rFonts w:hint="eastAsia" w:ascii="宋体" w:hAnsi="宋体" w:eastAsia="宋体" w:cs="Times New Roman"/>
                <w:color w:val="000000"/>
                <w:kern w:val="0"/>
                <w:sz w:val="26"/>
                <w:szCs w:val="22"/>
                <w:highlight w:val="none"/>
              </w:rPr>
              <w:t>软件著作</w:t>
            </w:r>
          </w:p>
        </w:tc>
        <w:tc>
          <w:tcPr>
            <w:tcW w:w="2211" w:type="dxa"/>
            <w:tcBorders>
              <w:top w:val="single" w:color="000000" w:sz="4" w:space="0"/>
              <w:left w:val="single" w:color="000000" w:sz="4" w:space="0"/>
              <w:bottom w:val="single" w:color="000000" w:sz="4" w:space="0"/>
              <w:right w:val="single" w:color="000000" w:sz="4" w:space="0"/>
            </w:tcBorders>
            <w:vAlign w:val="top"/>
          </w:tcPr>
          <w:p w14:paraId="0B611DFC">
            <w:pPr>
              <w:keepNext w:val="0"/>
              <w:keepLines w:val="0"/>
              <w:pageBreakBefore w:val="0"/>
              <w:widowControl w:val="0"/>
              <w:kinsoku/>
              <w:overflowPunct/>
              <w:topLinePunct w:val="0"/>
              <w:autoSpaceDE/>
              <w:autoSpaceDN/>
              <w:bidi w:val="0"/>
              <w:adjustRightInd/>
              <w:snapToGrid/>
              <w:spacing w:before="171" w:after="0" w:line="400" w:lineRule="exact"/>
              <w:jc w:val="center"/>
              <w:textAlignment w:val="auto"/>
              <w:rPr>
                <w:rFonts w:ascii="Calibri" w:hAnsi="Calibri" w:eastAsia="宋体" w:cs="Times New Roman"/>
                <w:kern w:val="0"/>
                <w:sz w:val="26"/>
                <w:szCs w:val="22"/>
                <w:highlight w:val="none"/>
              </w:rPr>
            </w:pPr>
            <w:r>
              <w:rPr>
                <w:rFonts w:hint="eastAsia" w:ascii="Calibri" w:hAnsi="Calibri" w:eastAsia="Calibri" w:cs="Times New Roman"/>
                <w:color w:val="000000"/>
                <w:kern w:val="0"/>
                <w:sz w:val="26"/>
                <w:szCs w:val="22"/>
                <w:highlight w:val="none"/>
              </w:rPr>
              <w:t>2021SR0071315</w:t>
            </w:r>
          </w:p>
        </w:tc>
        <w:tc>
          <w:tcPr>
            <w:tcW w:w="1133" w:type="dxa"/>
            <w:tcBorders>
              <w:top w:val="single" w:color="000000" w:sz="4" w:space="0"/>
              <w:left w:val="single" w:color="000000" w:sz="4" w:space="0"/>
              <w:bottom w:val="single" w:color="000000" w:sz="4" w:space="0"/>
              <w:right w:val="single" w:color="000000" w:sz="4" w:space="0"/>
            </w:tcBorders>
            <w:vAlign w:val="top"/>
          </w:tcPr>
          <w:p w14:paraId="13B7C411">
            <w:pPr>
              <w:keepNext w:val="0"/>
              <w:keepLines w:val="0"/>
              <w:pageBreakBefore w:val="0"/>
              <w:widowControl w:val="0"/>
              <w:kinsoku/>
              <w:overflowPunct/>
              <w:topLinePunct w:val="0"/>
              <w:autoSpaceDE/>
              <w:autoSpaceDN/>
              <w:bidi w:val="0"/>
              <w:adjustRightInd/>
              <w:snapToGrid/>
              <w:spacing w:before="191" w:after="0" w:line="400" w:lineRule="exact"/>
              <w:jc w:val="center"/>
              <w:textAlignment w:val="auto"/>
              <w:rPr>
                <w:rFonts w:ascii="Calibri" w:hAnsi="Calibri" w:eastAsia="宋体" w:cs="Times New Roman"/>
                <w:kern w:val="0"/>
                <w:sz w:val="26"/>
                <w:szCs w:val="22"/>
                <w:highlight w:val="none"/>
              </w:rPr>
            </w:pPr>
            <w:r>
              <w:rPr>
                <w:rFonts w:hint="eastAsia" w:ascii="Calibri" w:hAnsi="Calibri" w:eastAsia="Calibri" w:cs="Times New Roman"/>
                <w:color w:val="000000"/>
                <w:kern w:val="0"/>
                <w:sz w:val="26"/>
                <w:szCs w:val="22"/>
                <w:highlight w:val="none"/>
              </w:rPr>
              <w:t>1/2</w:t>
            </w:r>
          </w:p>
        </w:tc>
        <w:tc>
          <w:tcPr>
            <w:tcW w:w="1346" w:type="dxa"/>
            <w:tcBorders>
              <w:top w:val="single" w:color="000000" w:sz="4" w:space="0"/>
              <w:left w:val="single" w:color="000000" w:sz="4" w:space="0"/>
              <w:bottom w:val="single" w:color="000000" w:sz="4" w:space="0"/>
              <w:right w:val="single" w:color="000000" w:sz="4" w:space="0"/>
            </w:tcBorders>
            <w:vAlign w:val="top"/>
          </w:tcPr>
          <w:p w14:paraId="108D2785">
            <w:pPr>
              <w:keepNext w:val="0"/>
              <w:keepLines w:val="0"/>
              <w:pageBreakBefore w:val="0"/>
              <w:widowControl w:val="0"/>
              <w:kinsoku/>
              <w:overflowPunct/>
              <w:topLinePunct w:val="0"/>
              <w:autoSpaceDE/>
              <w:autoSpaceDN/>
              <w:bidi w:val="0"/>
              <w:adjustRightInd/>
              <w:snapToGrid/>
              <w:spacing w:before="191" w:after="0" w:line="400" w:lineRule="exact"/>
              <w:jc w:val="center"/>
              <w:textAlignment w:val="auto"/>
              <w:rPr>
                <w:rFonts w:ascii="Calibri" w:hAnsi="Calibri" w:eastAsia="宋体" w:cs="Times New Roman"/>
                <w:kern w:val="0"/>
                <w:sz w:val="26"/>
                <w:szCs w:val="22"/>
                <w:highlight w:val="none"/>
              </w:rPr>
            </w:pPr>
            <w:r>
              <w:rPr>
                <w:rFonts w:hint="eastAsia" w:ascii="Calibri" w:hAnsi="Calibri" w:eastAsia="Calibri" w:cs="Times New Roman"/>
                <w:color w:val="000000"/>
                <w:kern w:val="0"/>
                <w:sz w:val="26"/>
                <w:szCs w:val="22"/>
                <w:highlight w:val="none"/>
              </w:rPr>
              <w:t>2020.10</w:t>
            </w:r>
          </w:p>
        </w:tc>
      </w:tr>
      <w:tr w14:paraId="4754333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2100" w:hRule="atLeast"/>
        </w:trPr>
        <w:tc>
          <w:tcPr>
            <w:tcW w:w="2258" w:type="dxa"/>
            <w:tcBorders>
              <w:top w:val="single" w:color="000000" w:sz="4" w:space="0"/>
              <w:left w:val="single" w:color="000000" w:sz="4" w:space="0"/>
              <w:bottom w:val="single" w:color="000000" w:sz="4" w:space="0"/>
              <w:right w:val="single" w:color="000000" w:sz="4" w:space="0"/>
            </w:tcBorders>
            <w:vAlign w:val="top"/>
          </w:tcPr>
          <w:p w14:paraId="50EB5F14">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病区数据监管上下位机通信管理系统［简称：天使守护通信系</w:t>
            </w:r>
          </w:p>
          <w:p w14:paraId="2AF47532">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统］V1.0</w:t>
            </w:r>
          </w:p>
        </w:tc>
        <w:tc>
          <w:tcPr>
            <w:tcW w:w="1378" w:type="dxa"/>
            <w:tcBorders>
              <w:top w:val="single" w:color="000000" w:sz="4" w:space="0"/>
              <w:left w:val="single" w:color="000000" w:sz="4" w:space="0"/>
              <w:bottom w:val="single" w:color="000000" w:sz="4" w:space="0"/>
              <w:right w:val="single" w:color="000000" w:sz="4" w:space="0"/>
            </w:tcBorders>
            <w:vAlign w:val="top"/>
          </w:tcPr>
          <w:p w14:paraId="45F76E26">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s="Times New Roman"/>
                <w:color w:val="000000"/>
                <w:kern w:val="0"/>
                <w:sz w:val="26"/>
                <w:szCs w:val="22"/>
                <w:highlight w:val="none"/>
              </w:rPr>
            </w:pPr>
          </w:p>
          <w:p w14:paraId="6067FDE5">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s="Times New Roman"/>
                <w:color w:val="000000"/>
                <w:kern w:val="0"/>
                <w:sz w:val="26"/>
                <w:szCs w:val="22"/>
                <w:highlight w:val="none"/>
              </w:rPr>
            </w:pPr>
          </w:p>
          <w:p w14:paraId="482D0AB1">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ascii="Calibri" w:hAnsi="Calibri" w:eastAsia="宋体" w:cs="Times New Roman"/>
                <w:kern w:val="0"/>
                <w:sz w:val="26"/>
                <w:szCs w:val="22"/>
                <w:highlight w:val="none"/>
              </w:rPr>
            </w:pPr>
            <w:r>
              <w:rPr>
                <w:rFonts w:hint="eastAsia" w:ascii="宋体" w:hAnsi="宋体" w:eastAsia="宋体" w:cs="Times New Roman"/>
                <w:color w:val="000000"/>
                <w:kern w:val="0"/>
                <w:sz w:val="26"/>
                <w:szCs w:val="22"/>
                <w:highlight w:val="none"/>
              </w:rPr>
              <w:t>软件著作</w:t>
            </w:r>
          </w:p>
        </w:tc>
        <w:tc>
          <w:tcPr>
            <w:tcW w:w="2211" w:type="dxa"/>
            <w:tcBorders>
              <w:top w:val="single" w:color="000000" w:sz="4" w:space="0"/>
              <w:left w:val="single" w:color="000000" w:sz="4" w:space="0"/>
              <w:bottom w:val="single" w:color="000000" w:sz="4" w:space="0"/>
              <w:right w:val="single" w:color="000000" w:sz="4" w:space="0"/>
            </w:tcBorders>
            <w:vAlign w:val="top"/>
          </w:tcPr>
          <w:p w14:paraId="2C44EA19">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s="Times New Roman"/>
                <w:color w:val="000000"/>
                <w:kern w:val="0"/>
                <w:sz w:val="26"/>
                <w:szCs w:val="22"/>
                <w:highlight w:val="none"/>
              </w:rPr>
            </w:pPr>
          </w:p>
          <w:p w14:paraId="3D7E7745">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s="Times New Roman"/>
                <w:color w:val="000000"/>
                <w:kern w:val="0"/>
                <w:sz w:val="26"/>
                <w:szCs w:val="22"/>
                <w:highlight w:val="none"/>
              </w:rPr>
            </w:pPr>
          </w:p>
          <w:p w14:paraId="706F7567">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ascii="Calibri" w:hAnsi="Calibri" w:eastAsia="宋体" w:cs="Times New Roman"/>
                <w:kern w:val="0"/>
                <w:sz w:val="26"/>
                <w:szCs w:val="22"/>
                <w:highlight w:val="none"/>
              </w:rPr>
            </w:pPr>
            <w:r>
              <w:rPr>
                <w:rFonts w:hint="eastAsia" w:ascii="Calibri" w:hAnsi="Calibri" w:eastAsia="Calibri" w:cs="Times New Roman"/>
                <w:color w:val="000000"/>
                <w:kern w:val="0"/>
                <w:sz w:val="26"/>
                <w:szCs w:val="22"/>
                <w:highlight w:val="none"/>
              </w:rPr>
              <w:t>2021SR0799198</w:t>
            </w:r>
          </w:p>
        </w:tc>
        <w:tc>
          <w:tcPr>
            <w:tcW w:w="1133" w:type="dxa"/>
            <w:tcBorders>
              <w:top w:val="single" w:color="000000" w:sz="4" w:space="0"/>
              <w:left w:val="single" w:color="000000" w:sz="4" w:space="0"/>
              <w:bottom w:val="single" w:color="000000" w:sz="4" w:space="0"/>
              <w:right w:val="single" w:color="000000" w:sz="4" w:space="0"/>
            </w:tcBorders>
            <w:vAlign w:val="top"/>
          </w:tcPr>
          <w:p w14:paraId="68E712F9">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s="Times New Roman"/>
                <w:color w:val="000000"/>
                <w:kern w:val="0"/>
                <w:sz w:val="26"/>
                <w:szCs w:val="22"/>
                <w:highlight w:val="none"/>
              </w:rPr>
            </w:pPr>
          </w:p>
          <w:p w14:paraId="1F3E9D9A">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s="Times New Roman"/>
                <w:color w:val="000000"/>
                <w:kern w:val="0"/>
                <w:sz w:val="26"/>
                <w:szCs w:val="22"/>
                <w:highlight w:val="none"/>
              </w:rPr>
            </w:pPr>
          </w:p>
          <w:p w14:paraId="5EA49050">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ascii="Calibri" w:hAnsi="Calibri" w:eastAsia="宋体" w:cs="Times New Roman"/>
                <w:kern w:val="0"/>
                <w:sz w:val="26"/>
                <w:szCs w:val="22"/>
                <w:highlight w:val="none"/>
              </w:rPr>
            </w:pPr>
            <w:r>
              <w:rPr>
                <w:rFonts w:hint="eastAsia" w:ascii="Calibri" w:hAnsi="Calibri" w:eastAsia="Calibri" w:cs="Times New Roman"/>
                <w:color w:val="000000"/>
                <w:kern w:val="0"/>
                <w:sz w:val="26"/>
                <w:szCs w:val="22"/>
                <w:highlight w:val="none"/>
              </w:rPr>
              <w:t>1/7</w:t>
            </w:r>
          </w:p>
        </w:tc>
        <w:tc>
          <w:tcPr>
            <w:tcW w:w="1346" w:type="dxa"/>
            <w:tcBorders>
              <w:top w:val="single" w:color="000000" w:sz="4" w:space="0"/>
              <w:left w:val="single" w:color="000000" w:sz="4" w:space="0"/>
              <w:bottom w:val="single" w:color="000000" w:sz="4" w:space="0"/>
              <w:right w:val="single" w:color="000000" w:sz="4" w:space="0"/>
            </w:tcBorders>
            <w:vAlign w:val="top"/>
          </w:tcPr>
          <w:p w14:paraId="71453B48">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s="Times New Roman"/>
                <w:color w:val="000000"/>
                <w:kern w:val="0"/>
                <w:sz w:val="26"/>
                <w:szCs w:val="22"/>
                <w:highlight w:val="none"/>
              </w:rPr>
            </w:pPr>
          </w:p>
          <w:p w14:paraId="10313B92">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s="Times New Roman"/>
                <w:color w:val="000000"/>
                <w:kern w:val="0"/>
                <w:sz w:val="26"/>
                <w:szCs w:val="22"/>
                <w:highlight w:val="none"/>
              </w:rPr>
            </w:pPr>
          </w:p>
          <w:p w14:paraId="34E87BC8">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ascii="Calibri" w:hAnsi="Calibri" w:eastAsia="宋体" w:cs="Times New Roman"/>
                <w:kern w:val="0"/>
                <w:sz w:val="26"/>
                <w:szCs w:val="22"/>
                <w:highlight w:val="none"/>
              </w:rPr>
            </w:pPr>
            <w:r>
              <w:rPr>
                <w:rFonts w:hint="eastAsia" w:ascii="Calibri" w:hAnsi="Calibri" w:eastAsia="Calibri" w:cs="Times New Roman"/>
                <w:color w:val="000000"/>
                <w:kern w:val="0"/>
                <w:sz w:val="26"/>
                <w:szCs w:val="22"/>
                <w:highlight w:val="none"/>
              </w:rPr>
              <w:t>2020.12</w:t>
            </w:r>
          </w:p>
        </w:tc>
      </w:tr>
      <w:tr w14:paraId="4DCA6EE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1790" w:hRule="atLeast"/>
        </w:trPr>
        <w:tc>
          <w:tcPr>
            <w:tcW w:w="2258" w:type="dxa"/>
            <w:tcBorders>
              <w:top w:val="single" w:color="000000" w:sz="4" w:space="0"/>
              <w:left w:val="single" w:color="000000" w:sz="4" w:space="0"/>
              <w:bottom w:val="single" w:color="000000" w:sz="4" w:space="0"/>
              <w:right w:val="single" w:color="000000" w:sz="4" w:space="0"/>
            </w:tcBorders>
            <w:vAlign w:val="top"/>
          </w:tcPr>
          <w:p w14:paraId="6255F430">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基于RFID的病区数据收集系统</w:t>
            </w:r>
          </w:p>
          <w:p w14:paraId="444105FC">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［简称：天使守护管理系统］V1.0</w:t>
            </w:r>
          </w:p>
        </w:tc>
        <w:tc>
          <w:tcPr>
            <w:tcW w:w="1378" w:type="dxa"/>
            <w:tcBorders>
              <w:top w:val="single" w:color="000000" w:sz="4" w:space="0"/>
              <w:left w:val="single" w:color="000000" w:sz="4" w:space="0"/>
              <w:bottom w:val="single" w:color="000000" w:sz="4" w:space="0"/>
              <w:right w:val="single" w:color="000000" w:sz="4" w:space="0"/>
            </w:tcBorders>
            <w:vAlign w:val="top"/>
          </w:tcPr>
          <w:p w14:paraId="0D74CED7">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s="Times New Roman"/>
                <w:color w:val="000000"/>
                <w:kern w:val="0"/>
                <w:sz w:val="26"/>
                <w:szCs w:val="22"/>
                <w:highlight w:val="none"/>
              </w:rPr>
            </w:pPr>
          </w:p>
          <w:p w14:paraId="37CA735D">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s="Times New Roman"/>
                <w:color w:val="000000"/>
                <w:kern w:val="0"/>
                <w:sz w:val="26"/>
                <w:szCs w:val="22"/>
                <w:highlight w:val="none"/>
              </w:rPr>
            </w:pPr>
          </w:p>
          <w:p w14:paraId="43071ED4">
            <w:pPr>
              <w:keepNext w:val="0"/>
              <w:keepLines w:val="0"/>
              <w:pageBreakBefore w:val="0"/>
              <w:widowControl w:val="0"/>
              <w:kinsoku/>
              <w:overflowPunct/>
              <w:topLinePunct w:val="0"/>
              <w:autoSpaceDE/>
              <w:autoSpaceDN/>
              <w:bidi w:val="0"/>
              <w:adjustRightInd/>
              <w:snapToGrid/>
              <w:spacing w:before="116" w:after="0" w:line="400" w:lineRule="exact"/>
              <w:jc w:val="center"/>
              <w:textAlignment w:val="auto"/>
              <w:rPr>
                <w:rFonts w:ascii="Calibri" w:hAnsi="Calibri" w:eastAsia="宋体" w:cs="Times New Roman"/>
                <w:kern w:val="0"/>
                <w:sz w:val="26"/>
                <w:szCs w:val="22"/>
                <w:highlight w:val="none"/>
              </w:rPr>
            </w:pPr>
            <w:r>
              <w:rPr>
                <w:rFonts w:hint="eastAsia" w:ascii="宋体" w:hAnsi="宋体" w:eastAsia="宋体" w:cs="Times New Roman"/>
                <w:color w:val="000000"/>
                <w:kern w:val="0"/>
                <w:sz w:val="26"/>
                <w:szCs w:val="22"/>
                <w:highlight w:val="none"/>
              </w:rPr>
              <w:t>软件著作</w:t>
            </w:r>
          </w:p>
        </w:tc>
        <w:tc>
          <w:tcPr>
            <w:tcW w:w="2211" w:type="dxa"/>
            <w:tcBorders>
              <w:top w:val="single" w:color="000000" w:sz="4" w:space="0"/>
              <w:left w:val="single" w:color="000000" w:sz="4" w:space="0"/>
              <w:bottom w:val="single" w:color="000000" w:sz="4" w:space="0"/>
              <w:right w:val="single" w:color="000000" w:sz="4" w:space="0"/>
            </w:tcBorders>
            <w:vAlign w:val="top"/>
          </w:tcPr>
          <w:p w14:paraId="5D4E5225">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s="Times New Roman"/>
                <w:color w:val="000000"/>
                <w:kern w:val="0"/>
                <w:sz w:val="26"/>
                <w:szCs w:val="22"/>
                <w:highlight w:val="none"/>
              </w:rPr>
            </w:pPr>
          </w:p>
          <w:p w14:paraId="47182CFC">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s="Times New Roman"/>
                <w:color w:val="000000"/>
                <w:kern w:val="0"/>
                <w:sz w:val="26"/>
                <w:szCs w:val="22"/>
                <w:highlight w:val="none"/>
              </w:rPr>
            </w:pPr>
          </w:p>
          <w:p w14:paraId="752CE3DD">
            <w:pPr>
              <w:keepNext w:val="0"/>
              <w:keepLines w:val="0"/>
              <w:pageBreakBefore w:val="0"/>
              <w:widowControl w:val="0"/>
              <w:kinsoku/>
              <w:overflowPunct/>
              <w:topLinePunct w:val="0"/>
              <w:autoSpaceDE/>
              <w:autoSpaceDN/>
              <w:bidi w:val="0"/>
              <w:adjustRightInd/>
              <w:snapToGrid/>
              <w:spacing w:before="134" w:after="0" w:line="400" w:lineRule="exact"/>
              <w:jc w:val="center"/>
              <w:textAlignment w:val="auto"/>
              <w:rPr>
                <w:rFonts w:ascii="Calibri" w:hAnsi="Calibri" w:eastAsia="宋体" w:cs="Times New Roman"/>
                <w:kern w:val="0"/>
                <w:sz w:val="26"/>
                <w:szCs w:val="22"/>
                <w:highlight w:val="none"/>
              </w:rPr>
            </w:pPr>
            <w:r>
              <w:rPr>
                <w:rFonts w:hint="eastAsia" w:ascii="Calibri" w:hAnsi="Calibri" w:eastAsia="Calibri" w:cs="Times New Roman"/>
                <w:color w:val="000000"/>
                <w:kern w:val="0"/>
                <w:sz w:val="26"/>
                <w:szCs w:val="22"/>
                <w:highlight w:val="none"/>
              </w:rPr>
              <w:t>2021SR0799190</w:t>
            </w:r>
          </w:p>
        </w:tc>
        <w:tc>
          <w:tcPr>
            <w:tcW w:w="1133" w:type="dxa"/>
            <w:tcBorders>
              <w:top w:val="single" w:color="000000" w:sz="4" w:space="0"/>
              <w:left w:val="single" w:color="000000" w:sz="4" w:space="0"/>
              <w:bottom w:val="single" w:color="000000" w:sz="4" w:space="0"/>
              <w:right w:val="single" w:color="000000" w:sz="4" w:space="0"/>
            </w:tcBorders>
            <w:vAlign w:val="top"/>
          </w:tcPr>
          <w:p w14:paraId="3D8E88CE">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s="Times New Roman"/>
                <w:color w:val="000000"/>
                <w:kern w:val="0"/>
                <w:sz w:val="26"/>
                <w:szCs w:val="22"/>
                <w:highlight w:val="none"/>
              </w:rPr>
            </w:pPr>
          </w:p>
          <w:p w14:paraId="61ABF12C">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s="Times New Roman"/>
                <w:color w:val="000000"/>
                <w:kern w:val="0"/>
                <w:sz w:val="26"/>
                <w:szCs w:val="22"/>
                <w:highlight w:val="none"/>
              </w:rPr>
            </w:pPr>
          </w:p>
          <w:p w14:paraId="348C6100">
            <w:pPr>
              <w:keepNext w:val="0"/>
              <w:keepLines w:val="0"/>
              <w:pageBreakBefore w:val="0"/>
              <w:widowControl w:val="0"/>
              <w:kinsoku/>
              <w:overflowPunct/>
              <w:topLinePunct w:val="0"/>
              <w:autoSpaceDE/>
              <w:autoSpaceDN/>
              <w:bidi w:val="0"/>
              <w:adjustRightInd/>
              <w:snapToGrid/>
              <w:spacing w:before="114" w:after="0" w:line="400" w:lineRule="exact"/>
              <w:jc w:val="center"/>
              <w:textAlignment w:val="auto"/>
              <w:rPr>
                <w:rFonts w:ascii="Calibri" w:hAnsi="Calibri" w:eastAsia="宋体" w:cs="Times New Roman"/>
                <w:kern w:val="0"/>
                <w:sz w:val="26"/>
                <w:szCs w:val="22"/>
                <w:highlight w:val="none"/>
              </w:rPr>
            </w:pPr>
            <w:r>
              <w:rPr>
                <w:rFonts w:hint="eastAsia" w:ascii="Calibri" w:hAnsi="Calibri" w:eastAsia="Calibri" w:cs="Times New Roman"/>
                <w:color w:val="000000"/>
                <w:kern w:val="0"/>
                <w:sz w:val="26"/>
                <w:szCs w:val="22"/>
                <w:highlight w:val="none"/>
              </w:rPr>
              <w:t>1/7</w:t>
            </w:r>
          </w:p>
        </w:tc>
        <w:tc>
          <w:tcPr>
            <w:tcW w:w="1346" w:type="dxa"/>
            <w:tcBorders>
              <w:top w:val="single" w:color="000000" w:sz="4" w:space="0"/>
              <w:left w:val="single" w:color="000000" w:sz="4" w:space="0"/>
              <w:bottom w:val="single" w:color="000000" w:sz="4" w:space="0"/>
              <w:right w:val="single" w:color="000000" w:sz="4" w:space="0"/>
            </w:tcBorders>
            <w:vAlign w:val="top"/>
          </w:tcPr>
          <w:p w14:paraId="12B5F186">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s="Times New Roman"/>
                <w:color w:val="000000"/>
                <w:kern w:val="0"/>
                <w:sz w:val="26"/>
                <w:szCs w:val="22"/>
                <w:highlight w:val="none"/>
              </w:rPr>
            </w:pPr>
          </w:p>
          <w:p w14:paraId="3164E49F">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s="Times New Roman"/>
                <w:color w:val="000000"/>
                <w:kern w:val="0"/>
                <w:sz w:val="26"/>
                <w:szCs w:val="22"/>
                <w:highlight w:val="none"/>
              </w:rPr>
            </w:pPr>
          </w:p>
          <w:p w14:paraId="1DC0514B">
            <w:pPr>
              <w:keepNext w:val="0"/>
              <w:keepLines w:val="0"/>
              <w:pageBreakBefore w:val="0"/>
              <w:widowControl w:val="0"/>
              <w:kinsoku/>
              <w:overflowPunct/>
              <w:topLinePunct w:val="0"/>
              <w:autoSpaceDE/>
              <w:autoSpaceDN/>
              <w:bidi w:val="0"/>
              <w:adjustRightInd/>
              <w:snapToGrid/>
              <w:spacing w:before="94" w:after="0" w:line="400" w:lineRule="exact"/>
              <w:jc w:val="center"/>
              <w:textAlignment w:val="auto"/>
              <w:rPr>
                <w:rFonts w:ascii="Calibri" w:hAnsi="Calibri" w:eastAsia="宋体" w:cs="Times New Roman"/>
                <w:kern w:val="0"/>
                <w:sz w:val="26"/>
                <w:szCs w:val="22"/>
                <w:highlight w:val="none"/>
              </w:rPr>
            </w:pPr>
            <w:r>
              <w:rPr>
                <w:rFonts w:hint="eastAsia" w:ascii="Calibri" w:hAnsi="Calibri" w:eastAsia="Calibri" w:cs="Times New Roman"/>
                <w:color w:val="000000"/>
                <w:kern w:val="0"/>
                <w:sz w:val="26"/>
                <w:szCs w:val="22"/>
                <w:highlight w:val="none"/>
              </w:rPr>
              <w:t>2020.12</w:t>
            </w:r>
          </w:p>
        </w:tc>
      </w:tr>
      <w:tr w14:paraId="08C7B06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1020" w:hRule="atLeast"/>
        </w:trPr>
        <w:tc>
          <w:tcPr>
            <w:tcW w:w="2258" w:type="dxa"/>
            <w:tcBorders>
              <w:top w:val="single" w:color="000000" w:sz="4" w:space="0"/>
              <w:left w:val="single" w:color="000000" w:sz="4" w:space="0"/>
              <w:bottom w:val="single" w:color="000000" w:sz="4" w:space="0"/>
              <w:right w:val="single" w:color="000000" w:sz="4" w:space="0"/>
            </w:tcBorders>
            <w:vAlign w:val="top"/>
          </w:tcPr>
          <w:p w14:paraId="747E2B73">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一种住院病区数据</w:t>
            </w:r>
          </w:p>
          <w:p w14:paraId="6E075C88">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监管用手腕带</w:t>
            </w:r>
          </w:p>
        </w:tc>
        <w:tc>
          <w:tcPr>
            <w:tcW w:w="1378" w:type="dxa"/>
            <w:tcBorders>
              <w:top w:val="single" w:color="000000" w:sz="4" w:space="0"/>
              <w:left w:val="single" w:color="000000" w:sz="4" w:space="0"/>
              <w:bottom w:val="single" w:color="000000" w:sz="4" w:space="0"/>
              <w:right w:val="single" w:color="000000" w:sz="4" w:space="0"/>
            </w:tcBorders>
            <w:vAlign w:val="top"/>
          </w:tcPr>
          <w:p w14:paraId="25C91279">
            <w:pPr>
              <w:keepNext w:val="0"/>
              <w:keepLines w:val="0"/>
              <w:pageBreakBefore w:val="0"/>
              <w:widowControl w:val="0"/>
              <w:kinsoku/>
              <w:overflowPunct/>
              <w:topLinePunct w:val="0"/>
              <w:autoSpaceDE/>
              <w:autoSpaceDN/>
              <w:bidi w:val="0"/>
              <w:adjustRightInd/>
              <w:snapToGrid/>
              <w:spacing w:before="352" w:after="0" w:line="400" w:lineRule="exact"/>
              <w:jc w:val="center"/>
              <w:textAlignment w:val="auto"/>
              <w:rPr>
                <w:rFonts w:ascii="Calibri" w:hAnsi="Calibri" w:eastAsia="宋体" w:cs="Times New Roman"/>
                <w:kern w:val="0"/>
                <w:sz w:val="26"/>
                <w:szCs w:val="22"/>
                <w:highlight w:val="none"/>
              </w:rPr>
            </w:pPr>
            <w:r>
              <w:rPr>
                <w:rFonts w:hint="eastAsia" w:ascii="宋体" w:hAnsi="宋体" w:eastAsia="宋体" w:cs="Times New Roman"/>
                <w:color w:val="000000"/>
                <w:kern w:val="0"/>
                <w:sz w:val="26"/>
                <w:szCs w:val="22"/>
                <w:highlight w:val="none"/>
              </w:rPr>
              <w:t>实用新型</w:t>
            </w:r>
          </w:p>
        </w:tc>
        <w:tc>
          <w:tcPr>
            <w:tcW w:w="2211" w:type="dxa"/>
            <w:tcBorders>
              <w:top w:val="single" w:color="000000" w:sz="4" w:space="0"/>
              <w:left w:val="single" w:color="000000" w:sz="4" w:space="0"/>
              <w:bottom w:val="single" w:color="000000" w:sz="4" w:space="0"/>
              <w:right w:val="single" w:color="000000" w:sz="4" w:space="0"/>
            </w:tcBorders>
            <w:vAlign w:val="top"/>
          </w:tcPr>
          <w:p w14:paraId="4639E277">
            <w:pPr>
              <w:keepNext w:val="0"/>
              <w:keepLines w:val="0"/>
              <w:pageBreakBefore w:val="0"/>
              <w:widowControl w:val="0"/>
              <w:kinsoku/>
              <w:overflowPunct/>
              <w:topLinePunct w:val="0"/>
              <w:autoSpaceDE/>
              <w:autoSpaceDN/>
              <w:bidi w:val="0"/>
              <w:adjustRightInd/>
              <w:snapToGrid/>
              <w:spacing w:before="171" w:after="0" w:line="400" w:lineRule="exact"/>
              <w:jc w:val="center"/>
              <w:textAlignment w:val="auto"/>
              <w:rPr>
                <w:rFonts w:ascii="Calibri" w:hAnsi="Calibri" w:eastAsia="宋体" w:cs="Times New Roman"/>
                <w:kern w:val="0"/>
                <w:sz w:val="26"/>
                <w:szCs w:val="22"/>
                <w:highlight w:val="none"/>
              </w:rPr>
            </w:pPr>
            <w:r>
              <w:rPr>
                <w:rFonts w:hint="eastAsia" w:ascii="Calibri" w:hAnsi="Calibri" w:eastAsia="Calibri" w:cs="Times New Roman"/>
                <w:color w:val="000000"/>
                <w:kern w:val="0"/>
                <w:sz w:val="26"/>
                <w:szCs w:val="22"/>
                <w:highlight w:val="none"/>
              </w:rPr>
              <w:t>ZL 2021 2</w:t>
            </w:r>
          </w:p>
          <w:p w14:paraId="4DCFC746">
            <w:pPr>
              <w:keepNext w:val="0"/>
              <w:keepLines w:val="0"/>
              <w:pageBreakBefore w:val="0"/>
              <w:widowControl w:val="0"/>
              <w:kinsoku/>
              <w:overflowPunct/>
              <w:topLinePunct w:val="0"/>
              <w:autoSpaceDE/>
              <w:autoSpaceDN/>
              <w:bidi w:val="0"/>
              <w:adjustRightInd/>
              <w:snapToGrid/>
              <w:spacing w:before="1" w:after="0" w:line="400" w:lineRule="exact"/>
              <w:jc w:val="center"/>
              <w:textAlignment w:val="auto"/>
              <w:rPr>
                <w:rFonts w:ascii="Calibri" w:hAnsi="Calibri" w:eastAsia="宋体" w:cs="Times New Roman"/>
                <w:kern w:val="0"/>
                <w:sz w:val="26"/>
                <w:szCs w:val="22"/>
                <w:highlight w:val="none"/>
              </w:rPr>
            </w:pPr>
            <w:r>
              <w:rPr>
                <w:rFonts w:hint="eastAsia" w:ascii="Calibri" w:hAnsi="Calibri" w:eastAsia="Calibri" w:cs="Times New Roman"/>
                <w:color w:val="000000"/>
                <w:kern w:val="0"/>
                <w:sz w:val="26"/>
                <w:szCs w:val="22"/>
                <w:highlight w:val="none"/>
              </w:rPr>
              <w:t>1228448.0</w:t>
            </w:r>
          </w:p>
        </w:tc>
        <w:tc>
          <w:tcPr>
            <w:tcW w:w="1133" w:type="dxa"/>
            <w:tcBorders>
              <w:top w:val="single" w:color="000000" w:sz="4" w:space="0"/>
              <w:left w:val="single" w:color="000000" w:sz="4" w:space="0"/>
              <w:bottom w:val="single" w:color="000000" w:sz="4" w:space="0"/>
              <w:right w:val="single" w:color="000000" w:sz="4" w:space="0"/>
            </w:tcBorders>
            <w:vAlign w:val="top"/>
          </w:tcPr>
          <w:p w14:paraId="2F813BF8">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ascii="Calibri" w:hAnsi="Calibri" w:eastAsia="宋体" w:cs="Times New Roman"/>
                <w:kern w:val="0"/>
                <w:sz w:val="26"/>
                <w:szCs w:val="22"/>
                <w:highlight w:val="none"/>
              </w:rPr>
            </w:pPr>
            <w:r>
              <w:rPr>
                <w:rFonts w:hint="eastAsia" w:ascii="Calibri" w:hAnsi="Calibri" w:eastAsia="Calibri" w:cs="Times New Roman"/>
                <w:color w:val="000000"/>
                <w:kern w:val="0"/>
                <w:sz w:val="26"/>
                <w:szCs w:val="22"/>
                <w:highlight w:val="none"/>
              </w:rPr>
              <w:t>1/8</w:t>
            </w:r>
          </w:p>
        </w:tc>
        <w:tc>
          <w:tcPr>
            <w:tcW w:w="1346" w:type="dxa"/>
            <w:tcBorders>
              <w:top w:val="single" w:color="000000" w:sz="4" w:space="0"/>
              <w:left w:val="single" w:color="000000" w:sz="4" w:space="0"/>
              <w:bottom w:val="single" w:color="000000" w:sz="4" w:space="0"/>
              <w:right w:val="single" w:color="000000" w:sz="4" w:space="0"/>
            </w:tcBorders>
            <w:vAlign w:val="top"/>
          </w:tcPr>
          <w:p w14:paraId="63869F2B">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ascii="Calibri" w:hAnsi="Calibri" w:eastAsia="宋体" w:cs="Times New Roman"/>
                <w:kern w:val="0"/>
                <w:sz w:val="26"/>
                <w:szCs w:val="22"/>
                <w:highlight w:val="none"/>
              </w:rPr>
            </w:pPr>
            <w:r>
              <w:rPr>
                <w:rFonts w:hint="eastAsia" w:ascii="Calibri" w:hAnsi="Calibri" w:eastAsia="Calibri" w:cs="Times New Roman"/>
                <w:color w:val="000000"/>
                <w:kern w:val="0"/>
                <w:sz w:val="26"/>
                <w:szCs w:val="22"/>
                <w:highlight w:val="none"/>
              </w:rPr>
              <w:t>2022.02.08</w:t>
            </w:r>
          </w:p>
        </w:tc>
      </w:tr>
      <w:tr w14:paraId="6EC882B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1020" w:hRule="atLeast"/>
        </w:trPr>
        <w:tc>
          <w:tcPr>
            <w:tcW w:w="2258" w:type="dxa"/>
            <w:tcBorders>
              <w:top w:val="single" w:color="000000" w:sz="4" w:space="0"/>
              <w:left w:val="single" w:color="000000" w:sz="4" w:space="0"/>
              <w:bottom w:val="single" w:color="000000" w:sz="4" w:space="0"/>
              <w:right w:val="single" w:color="000000" w:sz="4" w:space="0"/>
            </w:tcBorders>
            <w:vAlign w:val="top"/>
          </w:tcPr>
          <w:p w14:paraId="5293F7ED">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婴幼儿雾化吸入虚</w:t>
            </w:r>
          </w:p>
          <w:p w14:paraId="2A34D72B">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实结合系统</w:t>
            </w:r>
          </w:p>
        </w:tc>
        <w:tc>
          <w:tcPr>
            <w:tcW w:w="1378" w:type="dxa"/>
            <w:tcBorders>
              <w:top w:val="single" w:color="000000" w:sz="4" w:space="0"/>
              <w:left w:val="single" w:color="000000" w:sz="4" w:space="0"/>
              <w:bottom w:val="single" w:color="000000" w:sz="4" w:space="0"/>
              <w:right w:val="single" w:color="000000" w:sz="4" w:space="0"/>
            </w:tcBorders>
            <w:vAlign w:val="top"/>
          </w:tcPr>
          <w:p w14:paraId="09E914E5">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olor w:val="000000"/>
                <w:sz w:val="26"/>
                <w:highlight w:val="none"/>
              </w:rPr>
            </w:pPr>
          </w:p>
          <w:p w14:paraId="3C5E88BD">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s="Times New Roman"/>
                <w:color w:val="000000"/>
                <w:kern w:val="0"/>
                <w:sz w:val="26"/>
                <w:szCs w:val="22"/>
                <w:highlight w:val="none"/>
              </w:rPr>
            </w:pPr>
            <w:r>
              <w:rPr>
                <w:rFonts w:hint="eastAsia" w:ascii="宋体" w:hAnsi="宋体" w:eastAsia="宋体"/>
                <w:color w:val="000000"/>
                <w:sz w:val="26"/>
                <w:highlight w:val="none"/>
              </w:rPr>
              <w:t>软件著作</w:t>
            </w:r>
          </w:p>
        </w:tc>
        <w:tc>
          <w:tcPr>
            <w:tcW w:w="2211" w:type="dxa"/>
            <w:tcBorders>
              <w:top w:val="single" w:color="000000" w:sz="4" w:space="0"/>
              <w:left w:val="single" w:color="000000" w:sz="4" w:space="0"/>
              <w:bottom w:val="single" w:color="000000" w:sz="4" w:space="0"/>
              <w:right w:val="single" w:color="000000" w:sz="4" w:space="0"/>
            </w:tcBorders>
            <w:vAlign w:val="top"/>
          </w:tcPr>
          <w:p w14:paraId="7A308648">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olor w:val="000000"/>
                <w:sz w:val="26"/>
                <w:highlight w:val="none"/>
              </w:rPr>
            </w:pPr>
          </w:p>
          <w:p w14:paraId="75E1C002">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2023SR0925054</w:t>
            </w:r>
          </w:p>
        </w:tc>
        <w:tc>
          <w:tcPr>
            <w:tcW w:w="1133" w:type="dxa"/>
            <w:tcBorders>
              <w:top w:val="single" w:color="000000" w:sz="4" w:space="0"/>
              <w:left w:val="single" w:color="000000" w:sz="4" w:space="0"/>
              <w:bottom w:val="single" w:color="000000" w:sz="4" w:space="0"/>
              <w:right w:val="single" w:color="000000" w:sz="4" w:space="0"/>
            </w:tcBorders>
            <w:vAlign w:val="top"/>
          </w:tcPr>
          <w:p w14:paraId="3C995DDB">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olor w:val="000000"/>
                <w:sz w:val="26"/>
                <w:highlight w:val="none"/>
              </w:rPr>
            </w:pPr>
          </w:p>
          <w:p w14:paraId="32195BCC">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1/4</w:t>
            </w:r>
          </w:p>
        </w:tc>
        <w:tc>
          <w:tcPr>
            <w:tcW w:w="1346" w:type="dxa"/>
            <w:tcBorders>
              <w:top w:val="single" w:color="000000" w:sz="4" w:space="0"/>
              <w:left w:val="single" w:color="000000" w:sz="4" w:space="0"/>
              <w:bottom w:val="single" w:color="000000" w:sz="4" w:space="0"/>
              <w:right w:val="single" w:color="000000" w:sz="4" w:space="0"/>
            </w:tcBorders>
            <w:vAlign w:val="top"/>
          </w:tcPr>
          <w:p w14:paraId="47DCC399">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olor w:val="000000"/>
                <w:sz w:val="26"/>
                <w:highlight w:val="none"/>
              </w:rPr>
            </w:pPr>
          </w:p>
          <w:p w14:paraId="56C12FC4">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2023.08.11</w:t>
            </w:r>
          </w:p>
        </w:tc>
      </w:tr>
      <w:tr w14:paraId="25EB103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1020" w:hRule="atLeast"/>
        </w:trPr>
        <w:tc>
          <w:tcPr>
            <w:tcW w:w="2258" w:type="dxa"/>
            <w:tcBorders>
              <w:top w:val="single" w:color="000000" w:sz="4" w:space="0"/>
              <w:left w:val="single" w:color="000000" w:sz="4" w:space="0"/>
              <w:bottom w:val="single" w:color="000000" w:sz="4" w:space="0"/>
              <w:right w:val="single" w:color="000000" w:sz="4" w:space="0"/>
            </w:tcBorders>
            <w:vAlign w:val="top"/>
          </w:tcPr>
          <w:p w14:paraId="5F1AD28A">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婴儿喂养虚实结合系统</w:t>
            </w:r>
          </w:p>
        </w:tc>
        <w:tc>
          <w:tcPr>
            <w:tcW w:w="1378" w:type="dxa"/>
            <w:tcBorders>
              <w:top w:val="single" w:color="000000" w:sz="4" w:space="0"/>
              <w:left w:val="single" w:color="000000" w:sz="4" w:space="0"/>
              <w:bottom w:val="single" w:color="000000" w:sz="4" w:space="0"/>
              <w:right w:val="single" w:color="000000" w:sz="4" w:space="0"/>
            </w:tcBorders>
            <w:vAlign w:val="top"/>
          </w:tcPr>
          <w:p w14:paraId="0735B88D">
            <w:pPr>
              <w:keepNext w:val="0"/>
              <w:keepLines w:val="0"/>
              <w:pageBreakBefore w:val="0"/>
              <w:widowControl w:val="0"/>
              <w:kinsoku/>
              <w:overflowPunct/>
              <w:topLinePunct w:val="0"/>
              <w:autoSpaceDE/>
              <w:autoSpaceDN/>
              <w:bidi w:val="0"/>
              <w:adjustRightInd/>
              <w:snapToGrid/>
              <w:spacing w:before="169" w:after="0" w:line="400" w:lineRule="exact"/>
              <w:jc w:val="center"/>
              <w:textAlignment w:val="auto"/>
              <w:rPr>
                <w:rFonts w:hint="eastAsia" w:ascii="宋体" w:hAnsi="宋体" w:eastAsia="宋体" w:cs="Times New Roman"/>
                <w:color w:val="000000"/>
                <w:kern w:val="0"/>
                <w:sz w:val="26"/>
                <w:szCs w:val="22"/>
                <w:highlight w:val="none"/>
              </w:rPr>
            </w:pPr>
            <w:r>
              <w:rPr>
                <w:rFonts w:hint="eastAsia" w:ascii="宋体" w:hAnsi="宋体" w:eastAsia="宋体"/>
                <w:color w:val="000000"/>
                <w:sz w:val="26"/>
                <w:highlight w:val="none"/>
              </w:rPr>
              <w:t>软件著作</w:t>
            </w:r>
          </w:p>
        </w:tc>
        <w:tc>
          <w:tcPr>
            <w:tcW w:w="2211" w:type="dxa"/>
            <w:tcBorders>
              <w:top w:val="single" w:color="000000" w:sz="4" w:space="0"/>
              <w:left w:val="single" w:color="000000" w:sz="4" w:space="0"/>
              <w:bottom w:val="single" w:color="000000" w:sz="4" w:space="0"/>
              <w:right w:val="single" w:color="000000" w:sz="4" w:space="0"/>
            </w:tcBorders>
            <w:vAlign w:val="top"/>
          </w:tcPr>
          <w:p w14:paraId="077E9BC4">
            <w:pPr>
              <w:keepNext w:val="0"/>
              <w:keepLines w:val="0"/>
              <w:pageBreakBefore w:val="0"/>
              <w:widowControl w:val="0"/>
              <w:kinsoku/>
              <w:overflowPunct/>
              <w:topLinePunct w:val="0"/>
              <w:autoSpaceDE/>
              <w:autoSpaceDN/>
              <w:bidi w:val="0"/>
              <w:adjustRightInd/>
              <w:snapToGrid/>
              <w:spacing w:before="188"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2023SR0930932</w:t>
            </w:r>
          </w:p>
        </w:tc>
        <w:tc>
          <w:tcPr>
            <w:tcW w:w="1133" w:type="dxa"/>
            <w:tcBorders>
              <w:top w:val="single" w:color="000000" w:sz="4" w:space="0"/>
              <w:left w:val="single" w:color="000000" w:sz="4" w:space="0"/>
              <w:bottom w:val="single" w:color="000000" w:sz="4" w:space="0"/>
              <w:right w:val="single" w:color="000000" w:sz="4" w:space="0"/>
            </w:tcBorders>
            <w:vAlign w:val="top"/>
          </w:tcPr>
          <w:p w14:paraId="1803C785">
            <w:pPr>
              <w:keepNext w:val="0"/>
              <w:keepLines w:val="0"/>
              <w:pageBreakBefore w:val="0"/>
              <w:widowControl w:val="0"/>
              <w:kinsoku/>
              <w:overflowPunct/>
              <w:topLinePunct w:val="0"/>
              <w:autoSpaceDE/>
              <w:autoSpaceDN/>
              <w:bidi w:val="0"/>
              <w:adjustRightInd/>
              <w:snapToGrid/>
              <w:spacing w:before="208"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1/4</w:t>
            </w:r>
          </w:p>
        </w:tc>
        <w:tc>
          <w:tcPr>
            <w:tcW w:w="1346" w:type="dxa"/>
            <w:tcBorders>
              <w:top w:val="single" w:color="000000" w:sz="4" w:space="0"/>
              <w:left w:val="single" w:color="000000" w:sz="4" w:space="0"/>
              <w:bottom w:val="single" w:color="000000" w:sz="4" w:space="0"/>
              <w:right w:val="single" w:color="000000" w:sz="4" w:space="0"/>
            </w:tcBorders>
            <w:vAlign w:val="top"/>
          </w:tcPr>
          <w:p w14:paraId="2198E38E">
            <w:pPr>
              <w:keepNext w:val="0"/>
              <w:keepLines w:val="0"/>
              <w:pageBreakBefore w:val="0"/>
              <w:widowControl w:val="0"/>
              <w:kinsoku/>
              <w:overflowPunct/>
              <w:topLinePunct w:val="0"/>
              <w:autoSpaceDE/>
              <w:autoSpaceDN/>
              <w:bidi w:val="0"/>
              <w:adjustRightInd/>
              <w:snapToGrid/>
              <w:spacing w:before="208"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2023.08.14</w:t>
            </w:r>
          </w:p>
        </w:tc>
      </w:tr>
      <w:tr w14:paraId="636CC6A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1020" w:hRule="atLeast"/>
        </w:trPr>
        <w:tc>
          <w:tcPr>
            <w:tcW w:w="2258" w:type="dxa"/>
            <w:tcBorders>
              <w:top w:val="single" w:color="000000" w:sz="4" w:space="0"/>
              <w:left w:val="single" w:color="000000" w:sz="4" w:space="0"/>
              <w:bottom w:val="single" w:color="000000" w:sz="4" w:space="0"/>
              <w:right w:val="single" w:color="000000" w:sz="4" w:space="0"/>
            </w:tcBorders>
            <w:vAlign w:val="top"/>
          </w:tcPr>
          <w:p w14:paraId="7B498905">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新生儿沐浴虚实结合系统</w:t>
            </w:r>
          </w:p>
        </w:tc>
        <w:tc>
          <w:tcPr>
            <w:tcW w:w="1378" w:type="dxa"/>
            <w:tcBorders>
              <w:top w:val="single" w:color="000000" w:sz="4" w:space="0"/>
              <w:left w:val="single" w:color="000000" w:sz="4" w:space="0"/>
              <w:bottom w:val="single" w:color="000000" w:sz="4" w:space="0"/>
              <w:right w:val="single" w:color="000000" w:sz="4" w:space="0"/>
            </w:tcBorders>
            <w:vAlign w:val="top"/>
          </w:tcPr>
          <w:p w14:paraId="1F39E418">
            <w:pPr>
              <w:keepNext w:val="0"/>
              <w:keepLines w:val="0"/>
              <w:pageBreakBefore w:val="0"/>
              <w:widowControl w:val="0"/>
              <w:kinsoku/>
              <w:overflowPunct/>
              <w:topLinePunct w:val="0"/>
              <w:autoSpaceDE/>
              <w:autoSpaceDN/>
              <w:bidi w:val="0"/>
              <w:adjustRightInd/>
              <w:snapToGrid/>
              <w:spacing w:before="167" w:after="0" w:line="400" w:lineRule="exact"/>
              <w:jc w:val="center"/>
              <w:textAlignment w:val="auto"/>
              <w:rPr>
                <w:rFonts w:hint="eastAsia" w:ascii="宋体" w:hAnsi="宋体" w:eastAsia="宋体" w:cs="Times New Roman"/>
                <w:color w:val="000000"/>
                <w:kern w:val="0"/>
                <w:sz w:val="26"/>
                <w:szCs w:val="22"/>
                <w:highlight w:val="none"/>
              </w:rPr>
            </w:pPr>
            <w:r>
              <w:rPr>
                <w:rFonts w:hint="eastAsia" w:ascii="宋体" w:hAnsi="宋体" w:eastAsia="宋体"/>
                <w:color w:val="000000"/>
                <w:sz w:val="26"/>
                <w:highlight w:val="none"/>
              </w:rPr>
              <w:t>软件著作</w:t>
            </w:r>
          </w:p>
        </w:tc>
        <w:tc>
          <w:tcPr>
            <w:tcW w:w="2211" w:type="dxa"/>
            <w:tcBorders>
              <w:top w:val="single" w:color="000000" w:sz="4" w:space="0"/>
              <w:left w:val="single" w:color="000000" w:sz="4" w:space="0"/>
              <w:bottom w:val="single" w:color="000000" w:sz="4" w:space="0"/>
              <w:right w:val="single" w:color="000000" w:sz="4" w:space="0"/>
            </w:tcBorders>
            <w:vAlign w:val="top"/>
          </w:tcPr>
          <w:p w14:paraId="3B6F4526">
            <w:pPr>
              <w:keepNext w:val="0"/>
              <w:keepLines w:val="0"/>
              <w:pageBreakBefore w:val="0"/>
              <w:widowControl w:val="0"/>
              <w:kinsoku/>
              <w:overflowPunct/>
              <w:topLinePunct w:val="0"/>
              <w:autoSpaceDE/>
              <w:autoSpaceDN/>
              <w:bidi w:val="0"/>
              <w:adjustRightInd/>
              <w:snapToGrid/>
              <w:spacing w:before="206"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2023SR0927137</w:t>
            </w:r>
          </w:p>
        </w:tc>
        <w:tc>
          <w:tcPr>
            <w:tcW w:w="1133" w:type="dxa"/>
            <w:tcBorders>
              <w:top w:val="single" w:color="000000" w:sz="4" w:space="0"/>
              <w:left w:val="single" w:color="000000" w:sz="4" w:space="0"/>
              <w:bottom w:val="single" w:color="000000" w:sz="4" w:space="0"/>
              <w:right w:val="single" w:color="000000" w:sz="4" w:space="0"/>
            </w:tcBorders>
            <w:vAlign w:val="top"/>
          </w:tcPr>
          <w:p w14:paraId="73E0876D">
            <w:pPr>
              <w:keepNext w:val="0"/>
              <w:keepLines w:val="0"/>
              <w:pageBreakBefore w:val="0"/>
              <w:widowControl w:val="0"/>
              <w:kinsoku/>
              <w:overflowPunct/>
              <w:topLinePunct w:val="0"/>
              <w:autoSpaceDE/>
              <w:autoSpaceDN/>
              <w:bidi w:val="0"/>
              <w:adjustRightInd/>
              <w:snapToGrid/>
              <w:spacing w:before="206"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2/4</w:t>
            </w:r>
          </w:p>
        </w:tc>
        <w:tc>
          <w:tcPr>
            <w:tcW w:w="1346" w:type="dxa"/>
            <w:tcBorders>
              <w:top w:val="single" w:color="000000" w:sz="4" w:space="0"/>
              <w:left w:val="single" w:color="000000" w:sz="4" w:space="0"/>
              <w:bottom w:val="single" w:color="000000" w:sz="4" w:space="0"/>
              <w:right w:val="single" w:color="000000" w:sz="4" w:space="0"/>
            </w:tcBorders>
            <w:vAlign w:val="top"/>
          </w:tcPr>
          <w:p w14:paraId="7156179A">
            <w:pPr>
              <w:keepNext w:val="0"/>
              <w:keepLines w:val="0"/>
              <w:pageBreakBefore w:val="0"/>
              <w:widowControl w:val="0"/>
              <w:kinsoku/>
              <w:overflowPunct/>
              <w:topLinePunct w:val="0"/>
              <w:autoSpaceDE/>
              <w:autoSpaceDN/>
              <w:bidi w:val="0"/>
              <w:adjustRightInd/>
              <w:snapToGrid/>
              <w:spacing w:before="186"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2023.08.14</w:t>
            </w:r>
          </w:p>
        </w:tc>
      </w:tr>
      <w:tr w14:paraId="01D8F95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1020" w:hRule="atLeast"/>
        </w:trPr>
        <w:tc>
          <w:tcPr>
            <w:tcW w:w="2258" w:type="dxa"/>
            <w:tcBorders>
              <w:top w:val="single" w:color="000000" w:sz="4" w:space="0"/>
              <w:left w:val="single" w:color="000000" w:sz="4" w:space="0"/>
              <w:bottom w:val="single" w:color="000000" w:sz="4" w:space="0"/>
              <w:right w:val="single" w:color="000000" w:sz="4" w:space="0"/>
            </w:tcBorders>
            <w:vAlign w:val="top"/>
          </w:tcPr>
          <w:p w14:paraId="0FEEC27B">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s="Times New Roman"/>
                <w:color w:val="000000"/>
                <w:kern w:val="0"/>
                <w:sz w:val="26"/>
                <w:szCs w:val="22"/>
                <w:highlight w:val="none"/>
              </w:rPr>
            </w:pPr>
            <w:r>
              <w:rPr>
                <w:rFonts w:hint="eastAsia" w:ascii="宋体" w:hAnsi="宋体" w:eastAsia="宋体"/>
                <w:color w:val="000000"/>
                <w:sz w:val="26"/>
                <w:highlight w:val="none"/>
              </w:rPr>
              <w:t>婴幼儿惊厥救护虚实结合系统</w:t>
            </w:r>
          </w:p>
        </w:tc>
        <w:tc>
          <w:tcPr>
            <w:tcW w:w="1378" w:type="dxa"/>
            <w:tcBorders>
              <w:top w:val="single" w:color="000000" w:sz="4" w:space="0"/>
              <w:left w:val="single" w:color="000000" w:sz="4" w:space="0"/>
              <w:bottom w:val="single" w:color="000000" w:sz="4" w:space="0"/>
              <w:right w:val="single" w:color="000000" w:sz="4" w:space="0"/>
            </w:tcBorders>
            <w:vAlign w:val="top"/>
          </w:tcPr>
          <w:p w14:paraId="1EDBADE5">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olor w:val="000000"/>
                <w:sz w:val="26"/>
                <w:highlight w:val="none"/>
              </w:rPr>
            </w:pPr>
          </w:p>
          <w:p w14:paraId="04923A9D">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s="Times New Roman"/>
                <w:color w:val="000000"/>
                <w:kern w:val="0"/>
                <w:sz w:val="26"/>
                <w:szCs w:val="22"/>
                <w:highlight w:val="none"/>
              </w:rPr>
            </w:pPr>
            <w:r>
              <w:rPr>
                <w:rFonts w:hint="eastAsia" w:ascii="宋体" w:hAnsi="宋体" w:eastAsia="宋体"/>
                <w:color w:val="000000"/>
                <w:sz w:val="26"/>
                <w:highlight w:val="none"/>
              </w:rPr>
              <w:t>软件著作</w:t>
            </w:r>
          </w:p>
        </w:tc>
        <w:tc>
          <w:tcPr>
            <w:tcW w:w="2211" w:type="dxa"/>
            <w:tcBorders>
              <w:top w:val="single" w:color="000000" w:sz="4" w:space="0"/>
              <w:left w:val="single" w:color="000000" w:sz="4" w:space="0"/>
              <w:bottom w:val="single" w:color="000000" w:sz="4" w:space="0"/>
              <w:right w:val="single" w:color="000000" w:sz="4" w:space="0"/>
            </w:tcBorders>
            <w:vAlign w:val="top"/>
          </w:tcPr>
          <w:p w14:paraId="718002B5">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olor w:val="000000"/>
                <w:sz w:val="26"/>
                <w:highlight w:val="none"/>
              </w:rPr>
            </w:pPr>
          </w:p>
          <w:p w14:paraId="14161DC6">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2023SR0924531</w:t>
            </w:r>
          </w:p>
        </w:tc>
        <w:tc>
          <w:tcPr>
            <w:tcW w:w="1133" w:type="dxa"/>
            <w:tcBorders>
              <w:top w:val="single" w:color="000000" w:sz="4" w:space="0"/>
              <w:left w:val="single" w:color="000000" w:sz="4" w:space="0"/>
              <w:bottom w:val="single" w:color="000000" w:sz="4" w:space="0"/>
              <w:right w:val="single" w:color="000000" w:sz="4" w:space="0"/>
            </w:tcBorders>
            <w:vAlign w:val="top"/>
          </w:tcPr>
          <w:p w14:paraId="730EDD58">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olor w:val="000000"/>
                <w:sz w:val="26"/>
                <w:highlight w:val="none"/>
              </w:rPr>
            </w:pPr>
          </w:p>
          <w:p w14:paraId="230B1720">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2/4</w:t>
            </w:r>
          </w:p>
        </w:tc>
        <w:tc>
          <w:tcPr>
            <w:tcW w:w="1346" w:type="dxa"/>
            <w:tcBorders>
              <w:top w:val="single" w:color="000000" w:sz="4" w:space="0"/>
              <w:left w:val="single" w:color="000000" w:sz="4" w:space="0"/>
              <w:bottom w:val="single" w:color="000000" w:sz="4" w:space="0"/>
              <w:right w:val="single" w:color="000000" w:sz="4" w:space="0"/>
            </w:tcBorders>
            <w:vAlign w:val="top"/>
          </w:tcPr>
          <w:p w14:paraId="18992DE9">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olor w:val="000000"/>
                <w:sz w:val="26"/>
                <w:highlight w:val="none"/>
              </w:rPr>
            </w:pPr>
          </w:p>
          <w:p w14:paraId="20E5D391">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2023.08.11</w:t>
            </w:r>
          </w:p>
        </w:tc>
      </w:tr>
      <w:tr w14:paraId="00F7100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1020" w:hRule="atLeast"/>
        </w:trPr>
        <w:tc>
          <w:tcPr>
            <w:tcW w:w="2258" w:type="dxa"/>
            <w:tcBorders>
              <w:top w:val="single" w:color="000000" w:sz="4" w:space="0"/>
              <w:left w:val="single" w:color="000000" w:sz="4" w:space="0"/>
              <w:bottom w:val="single" w:color="000000" w:sz="4" w:space="0"/>
              <w:right w:val="single" w:color="000000" w:sz="4" w:space="0"/>
            </w:tcBorders>
            <w:vAlign w:val="top"/>
          </w:tcPr>
          <w:p w14:paraId="28EA545A">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婴儿视力发育</w:t>
            </w:r>
          </w:p>
          <w:p w14:paraId="28DD97F7">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VR 体验系统</w:t>
            </w:r>
          </w:p>
        </w:tc>
        <w:tc>
          <w:tcPr>
            <w:tcW w:w="1378" w:type="dxa"/>
            <w:tcBorders>
              <w:top w:val="single" w:color="000000" w:sz="4" w:space="0"/>
              <w:left w:val="single" w:color="000000" w:sz="4" w:space="0"/>
              <w:bottom w:val="single" w:color="000000" w:sz="4" w:space="0"/>
              <w:right w:val="single" w:color="000000" w:sz="4" w:space="0"/>
            </w:tcBorders>
            <w:vAlign w:val="top"/>
          </w:tcPr>
          <w:p w14:paraId="126F6239">
            <w:pPr>
              <w:keepNext w:val="0"/>
              <w:keepLines w:val="0"/>
              <w:pageBreakBefore w:val="0"/>
              <w:widowControl w:val="0"/>
              <w:kinsoku/>
              <w:overflowPunct/>
              <w:topLinePunct w:val="0"/>
              <w:autoSpaceDE/>
              <w:autoSpaceDN/>
              <w:bidi w:val="0"/>
              <w:adjustRightInd/>
              <w:snapToGrid/>
              <w:spacing w:before="203" w:after="0" w:line="400" w:lineRule="exact"/>
              <w:jc w:val="center"/>
              <w:textAlignment w:val="auto"/>
              <w:rPr>
                <w:rFonts w:hint="eastAsia" w:ascii="宋体" w:hAnsi="宋体" w:eastAsia="宋体" w:cs="Times New Roman"/>
                <w:color w:val="000000"/>
                <w:kern w:val="0"/>
                <w:sz w:val="26"/>
                <w:szCs w:val="22"/>
                <w:highlight w:val="none"/>
              </w:rPr>
            </w:pPr>
            <w:r>
              <w:rPr>
                <w:rFonts w:hint="eastAsia" w:ascii="宋体" w:hAnsi="宋体" w:eastAsia="宋体"/>
                <w:color w:val="000000"/>
                <w:sz w:val="26"/>
                <w:highlight w:val="none"/>
              </w:rPr>
              <w:t>软件著作</w:t>
            </w:r>
          </w:p>
        </w:tc>
        <w:tc>
          <w:tcPr>
            <w:tcW w:w="2211" w:type="dxa"/>
            <w:tcBorders>
              <w:top w:val="single" w:color="000000" w:sz="4" w:space="0"/>
              <w:left w:val="single" w:color="000000" w:sz="4" w:space="0"/>
              <w:bottom w:val="single" w:color="000000" w:sz="4" w:space="0"/>
              <w:right w:val="single" w:color="000000" w:sz="4" w:space="0"/>
            </w:tcBorders>
            <w:vAlign w:val="top"/>
          </w:tcPr>
          <w:p w14:paraId="05E68868">
            <w:pPr>
              <w:keepNext w:val="0"/>
              <w:keepLines w:val="0"/>
              <w:pageBreakBefore w:val="0"/>
              <w:widowControl w:val="0"/>
              <w:kinsoku/>
              <w:overflowPunct/>
              <w:topLinePunct w:val="0"/>
              <w:autoSpaceDE/>
              <w:autoSpaceDN/>
              <w:bidi w:val="0"/>
              <w:adjustRightInd/>
              <w:snapToGrid/>
              <w:spacing w:before="221"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2023SR0924603</w:t>
            </w:r>
          </w:p>
        </w:tc>
        <w:tc>
          <w:tcPr>
            <w:tcW w:w="1133" w:type="dxa"/>
            <w:tcBorders>
              <w:top w:val="single" w:color="000000" w:sz="4" w:space="0"/>
              <w:left w:val="single" w:color="000000" w:sz="4" w:space="0"/>
              <w:bottom w:val="single" w:color="000000" w:sz="4" w:space="0"/>
              <w:right w:val="single" w:color="000000" w:sz="4" w:space="0"/>
            </w:tcBorders>
            <w:vAlign w:val="top"/>
          </w:tcPr>
          <w:p w14:paraId="36563039">
            <w:pPr>
              <w:keepNext w:val="0"/>
              <w:keepLines w:val="0"/>
              <w:pageBreakBefore w:val="0"/>
              <w:widowControl w:val="0"/>
              <w:kinsoku/>
              <w:overflowPunct/>
              <w:topLinePunct w:val="0"/>
              <w:autoSpaceDE/>
              <w:autoSpaceDN/>
              <w:bidi w:val="0"/>
              <w:adjustRightInd/>
              <w:snapToGrid/>
              <w:spacing w:before="201"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2/4</w:t>
            </w:r>
          </w:p>
        </w:tc>
        <w:tc>
          <w:tcPr>
            <w:tcW w:w="1346" w:type="dxa"/>
            <w:tcBorders>
              <w:top w:val="single" w:color="000000" w:sz="4" w:space="0"/>
              <w:left w:val="single" w:color="000000" w:sz="4" w:space="0"/>
              <w:bottom w:val="single" w:color="000000" w:sz="4" w:space="0"/>
              <w:right w:val="single" w:color="000000" w:sz="4" w:space="0"/>
            </w:tcBorders>
            <w:vAlign w:val="top"/>
          </w:tcPr>
          <w:p w14:paraId="77795ADC">
            <w:pPr>
              <w:keepNext w:val="0"/>
              <w:keepLines w:val="0"/>
              <w:pageBreakBefore w:val="0"/>
              <w:widowControl w:val="0"/>
              <w:kinsoku/>
              <w:overflowPunct/>
              <w:topLinePunct w:val="0"/>
              <w:autoSpaceDE/>
              <w:autoSpaceDN/>
              <w:bidi w:val="0"/>
              <w:adjustRightInd/>
              <w:snapToGrid/>
              <w:spacing w:before="201" w:after="0" w:line="400" w:lineRule="exact"/>
              <w:jc w:val="center"/>
              <w:textAlignment w:val="auto"/>
              <w:rPr>
                <w:rFonts w:hint="default" w:ascii="Calibri" w:hAnsi="Calibri" w:eastAsia="宋体" w:cs="Times New Roman"/>
                <w:color w:val="000000"/>
                <w:kern w:val="0"/>
                <w:sz w:val="26"/>
                <w:szCs w:val="22"/>
                <w:highlight w:val="none"/>
                <w:lang w:val="en-US" w:eastAsia="zh-CN"/>
              </w:rPr>
            </w:pPr>
            <w:r>
              <w:rPr>
                <w:rFonts w:hint="eastAsia" w:ascii="Calibri" w:hAnsi="Calibri" w:eastAsia="Calibri"/>
                <w:color w:val="000000"/>
                <w:sz w:val="26"/>
                <w:highlight w:val="none"/>
              </w:rPr>
              <w:t>2023.08</w:t>
            </w:r>
            <w:r>
              <w:rPr>
                <w:rFonts w:hint="eastAsia" w:ascii="Calibri" w:hAnsi="Calibri" w:eastAsia="宋体"/>
                <w:color w:val="000000"/>
                <w:sz w:val="26"/>
                <w:highlight w:val="none"/>
                <w:lang w:val="en-US" w:eastAsia="zh-CN"/>
              </w:rPr>
              <w:t>.11</w:t>
            </w:r>
          </w:p>
        </w:tc>
      </w:tr>
      <w:tr w14:paraId="4395676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1020" w:hRule="atLeast"/>
        </w:trPr>
        <w:tc>
          <w:tcPr>
            <w:tcW w:w="2258" w:type="dxa"/>
            <w:tcBorders>
              <w:top w:val="single" w:color="000000" w:sz="4" w:space="0"/>
              <w:left w:val="single" w:color="000000" w:sz="4" w:space="0"/>
              <w:bottom w:val="single" w:color="000000" w:sz="4" w:space="0"/>
              <w:right w:val="single" w:color="000000" w:sz="4" w:space="0"/>
            </w:tcBorders>
            <w:vAlign w:val="top"/>
          </w:tcPr>
          <w:p w14:paraId="4A154678">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婴儿臀红虚实</w:t>
            </w:r>
          </w:p>
          <w:p w14:paraId="7CC41B40">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结合系统</w:t>
            </w:r>
          </w:p>
        </w:tc>
        <w:tc>
          <w:tcPr>
            <w:tcW w:w="1378" w:type="dxa"/>
            <w:tcBorders>
              <w:top w:val="single" w:color="000000" w:sz="4" w:space="0"/>
              <w:left w:val="single" w:color="000000" w:sz="4" w:space="0"/>
              <w:bottom w:val="single" w:color="000000" w:sz="4" w:space="0"/>
              <w:right w:val="single" w:color="000000" w:sz="4" w:space="0"/>
            </w:tcBorders>
            <w:vAlign w:val="top"/>
          </w:tcPr>
          <w:p w14:paraId="3BA7A0BA">
            <w:pPr>
              <w:keepNext w:val="0"/>
              <w:keepLines w:val="0"/>
              <w:pageBreakBefore w:val="0"/>
              <w:widowControl w:val="0"/>
              <w:kinsoku/>
              <w:overflowPunct/>
              <w:topLinePunct w:val="0"/>
              <w:autoSpaceDE/>
              <w:autoSpaceDN/>
              <w:bidi w:val="0"/>
              <w:adjustRightInd/>
              <w:snapToGrid/>
              <w:spacing w:before="201" w:after="0" w:line="400" w:lineRule="exact"/>
              <w:jc w:val="center"/>
              <w:textAlignment w:val="auto"/>
              <w:rPr>
                <w:rFonts w:hint="eastAsia" w:ascii="宋体" w:hAnsi="宋体" w:eastAsia="宋体" w:cs="Times New Roman"/>
                <w:color w:val="000000"/>
                <w:kern w:val="0"/>
                <w:sz w:val="26"/>
                <w:szCs w:val="22"/>
                <w:highlight w:val="none"/>
              </w:rPr>
            </w:pPr>
            <w:r>
              <w:rPr>
                <w:rFonts w:hint="eastAsia" w:ascii="宋体" w:hAnsi="宋体" w:eastAsia="宋体"/>
                <w:color w:val="000000"/>
                <w:sz w:val="26"/>
                <w:highlight w:val="none"/>
              </w:rPr>
              <w:t>软件著作</w:t>
            </w:r>
          </w:p>
        </w:tc>
        <w:tc>
          <w:tcPr>
            <w:tcW w:w="2211" w:type="dxa"/>
            <w:tcBorders>
              <w:top w:val="single" w:color="000000" w:sz="4" w:space="0"/>
              <w:left w:val="single" w:color="000000" w:sz="4" w:space="0"/>
              <w:bottom w:val="single" w:color="000000" w:sz="4" w:space="0"/>
              <w:right w:val="single" w:color="000000" w:sz="4" w:space="0"/>
            </w:tcBorders>
            <w:vAlign w:val="top"/>
          </w:tcPr>
          <w:p w14:paraId="77E05734">
            <w:pPr>
              <w:keepNext w:val="0"/>
              <w:keepLines w:val="0"/>
              <w:pageBreakBefore w:val="0"/>
              <w:widowControl w:val="0"/>
              <w:kinsoku/>
              <w:overflowPunct/>
              <w:topLinePunct w:val="0"/>
              <w:autoSpaceDE/>
              <w:autoSpaceDN/>
              <w:bidi w:val="0"/>
              <w:adjustRightInd/>
              <w:snapToGrid/>
              <w:spacing w:before="219"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2023SR0924006</w:t>
            </w:r>
          </w:p>
        </w:tc>
        <w:tc>
          <w:tcPr>
            <w:tcW w:w="1133" w:type="dxa"/>
            <w:tcBorders>
              <w:top w:val="single" w:color="000000" w:sz="4" w:space="0"/>
              <w:left w:val="single" w:color="000000" w:sz="4" w:space="0"/>
              <w:bottom w:val="single" w:color="000000" w:sz="4" w:space="0"/>
              <w:right w:val="single" w:color="000000" w:sz="4" w:space="0"/>
            </w:tcBorders>
            <w:vAlign w:val="top"/>
          </w:tcPr>
          <w:p w14:paraId="73A5C332">
            <w:pPr>
              <w:keepNext w:val="0"/>
              <w:keepLines w:val="0"/>
              <w:pageBreakBefore w:val="0"/>
              <w:widowControl w:val="0"/>
              <w:kinsoku/>
              <w:overflowPunct/>
              <w:topLinePunct w:val="0"/>
              <w:autoSpaceDE/>
              <w:autoSpaceDN/>
              <w:bidi w:val="0"/>
              <w:adjustRightInd/>
              <w:snapToGrid/>
              <w:spacing w:before="199"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2/4</w:t>
            </w:r>
          </w:p>
        </w:tc>
        <w:tc>
          <w:tcPr>
            <w:tcW w:w="1346" w:type="dxa"/>
            <w:tcBorders>
              <w:top w:val="single" w:color="000000" w:sz="4" w:space="0"/>
              <w:left w:val="single" w:color="000000" w:sz="4" w:space="0"/>
              <w:bottom w:val="single" w:color="000000" w:sz="4" w:space="0"/>
              <w:right w:val="single" w:color="000000" w:sz="4" w:space="0"/>
            </w:tcBorders>
            <w:vAlign w:val="top"/>
          </w:tcPr>
          <w:p w14:paraId="10DF7C18">
            <w:pPr>
              <w:keepNext w:val="0"/>
              <w:keepLines w:val="0"/>
              <w:pageBreakBefore w:val="0"/>
              <w:widowControl w:val="0"/>
              <w:kinsoku/>
              <w:overflowPunct/>
              <w:topLinePunct w:val="0"/>
              <w:autoSpaceDE/>
              <w:autoSpaceDN/>
              <w:bidi w:val="0"/>
              <w:adjustRightInd/>
              <w:snapToGrid/>
              <w:spacing w:before="179" w:after="0" w:line="400" w:lineRule="exact"/>
              <w:jc w:val="center"/>
              <w:textAlignment w:val="auto"/>
              <w:rPr>
                <w:rFonts w:hint="default" w:ascii="Calibri" w:hAnsi="Calibri" w:eastAsia="宋体" w:cs="Times New Roman"/>
                <w:color w:val="000000"/>
                <w:kern w:val="0"/>
                <w:sz w:val="26"/>
                <w:szCs w:val="22"/>
                <w:highlight w:val="none"/>
                <w:lang w:val="en-US" w:eastAsia="zh-CN"/>
              </w:rPr>
            </w:pPr>
            <w:r>
              <w:rPr>
                <w:rFonts w:hint="eastAsia" w:ascii="Calibri" w:hAnsi="Calibri" w:eastAsia="Calibri"/>
                <w:color w:val="000000"/>
                <w:sz w:val="26"/>
                <w:highlight w:val="none"/>
              </w:rPr>
              <w:t>2023.08</w:t>
            </w:r>
            <w:r>
              <w:rPr>
                <w:rFonts w:hint="eastAsia" w:ascii="Calibri" w:hAnsi="Calibri" w:eastAsia="宋体"/>
                <w:color w:val="000000"/>
                <w:sz w:val="26"/>
                <w:highlight w:val="none"/>
                <w:lang w:val="en-US" w:eastAsia="zh-CN"/>
              </w:rPr>
              <w:t>.11</w:t>
            </w:r>
          </w:p>
        </w:tc>
      </w:tr>
      <w:tr w14:paraId="13FF216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1020" w:hRule="atLeast"/>
        </w:trPr>
        <w:tc>
          <w:tcPr>
            <w:tcW w:w="2258" w:type="dxa"/>
            <w:tcBorders>
              <w:top w:val="single" w:color="000000" w:sz="4" w:space="0"/>
              <w:left w:val="single" w:color="000000" w:sz="4" w:space="0"/>
              <w:bottom w:val="single" w:color="000000" w:sz="4" w:space="0"/>
              <w:right w:val="single" w:color="000000" w:sz="4" w:space="0"/>
            </w:tcBorders>
            <w:vAlign w:val="top"/>
          </w:tcPr>
          <w:p w14:paraId="78D77657">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s="Times New Roman"/>
                <w:color w:val="000000"/>
                <w:kern w:val="0"/>
                <w:sz w:val="26"/>
                <w:szCs w:val="22"/>
                <w:highlight w:val="none"/>
              </w:rPr>
            </w:pPr>
            <w:r>
              <w:rPr>
                <w:rFonts w:hint="eastAsia" w:ascii="宋体" w:hAnsi="宋体" w:eastAsia="宋体"/>
                <w:color w:val="000000"/>
                <w:sz w:val="26"/>
                <w:highlight w:val="none"/>
              </w:rPr>
              <w:t>人文关怀情境下婴幼儿头皮静脉输液虚实结合系统</w:t>
            </w:r>
          </w:p>
        </w:tc>
        <w:tc>
          <w:tcPr>
            <w:tcW w:w="1378" w:type="dxa"/>
            <w:tcBorders>
              <w:top w:val="single" w:color="000000" w:sz="4" w:space="0"/>
              <w:left w:val="single" w:color="000000" w:sz="4" w:space="0"/>
              <w:bottom w:val="single" w:color="000000" w:sz="4" w:space="0"/>
              <w:right w:val="single" w:color="000000" w:sz="4" w:space="0"/>
            </w:tcBorders>
            <w:vAlign w:val="top"/>
          </w:tcPr>
          <w:p w14:paraId="11B9A792">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olor w:val="000000"/>
                <w:sz w:val="26"/>
                <w:highlight w:val="none"/>
              </w:rPr>
            </w:pPr>
          </w:p>
          <w:p w14:paraId="3A96085D">
            <w:pPr>
              <w:keepNext w:val="0"/>
              <w:keepLines w:val="0"/>
              <w:pageBreakBefore w:val="0"/>
              <w:widowControl w:val="0"/>
              <w:kinsoku/>
              <w:overflowPunct/>
              <w:topLinePunct w:val="0"/>
              <w:autoSpaceDE/>
              <w:autoSpaceDN/>
              <w:bidi w:val="0"/>
              <w:adjustRightInd/>
              <w:snapToGrid/>
              <w:spacing w:before="168" w:after="0" w:line="400" w:lineRule="exact"/>
              <w:jc w:val="center"/>
              <w:textAlignment w:val="auto"/>
              <w:rPr>
                <w:rFonts w:hint="eastAsia" w:ascii="宋体" w:hAnsi="宋体" w:eastAsia="宋体" w:cs="Times New Roman"/>
                <w:color w:val="000000"/>
                <w:kern w:val="0"/>
                <w:sz w:val="26"/>
                <w:szCs w:val="22"/>
                <w:highlight w:val="none"/>
              </w:rPr>
            </w:pPr>
            <w:r>
              <w:rPr>
                <w:rFonts w:hint="eastAsia" w:ascii="宋体" w:hAnsi="宋体" w:eastAsia="宋体"/>
                <w:color w:val="000000"/>
                <w:sz w:val="26"/>
                <w:highlight w:val="none"/>
              </w:rPr>
              <w:t>软件著作</w:t>
            </w:r>
          </w:p>
        </w:tc>
        <w:tc>
          <w:tcPr>
            <w:tcW w:w="2211" w:type="dxa"/>
            <w:tcBorders>
              <w:top w:val="single" w:color="000000" w:sz="4" w:space="0"/>
              <w:left w:val="single" w:color="000000" w:sz="4" w:space="0"/>
              <w:bottom w:val="single" w:color="000000" w:sz="4" w:space="0"/>
              <w:right w:val="single" w:color="000000" w:sz="4" w:space="0"/>
            </w:tcBorders>
            <w:vAlign w:val="top"/>
          </w:tcPr>
          <w:p w14:paraId="1091BA1C">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olor w:val="000000"/>
                <w:sz w:val="26"/>
                <w:highlight w:val="none"/>
              </w:rPr>
            </w:pPr>
          </w:p>
          <w:p w14:paraId="73B93AE7">
            <w:pPr>
              <w:keepNext w:val="0"/>
              <w:keepLines w:val="0"/>
              <w:pageBreakBefore w:val="0"/>
              <w:widowControl w:val="0"/>
              <w:kinsoku/>
              <w:overflowPunct/>
              <w:topLinePunct w:val="0"/>
              <w:autoSpaceDE/>
              <w:autoSpaceDN/>
              <w:bidi w:val="0"/>
              <w:adjustRightInd/>
              <w:snapToGrid/>
              <w:spacing w:before="186"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2023SR0925194</w:t>
            </w:r>
          </w:p>
        </w:tc>
        <w:tc>
          <w:tcPr>
            <w:tcW w:w="1133" w:type="dxa"/>
            <w:tcBorders>
              <w:top w:val="single" w:color="000000" w:sz="4" w:space="0"/>
              <w:left w:val="single" w:color="000000" w:sz="4" w:space="0"/>
              <w:bottom w:val="single" w:color="000000" w:sz="4" w:space="0"/>
              <w:right w:val="single" w:color="000000" w:sz="4" w:space="0"/>
            </w:tcBorders>
            <w:vAlign w:val="top"/>
          </w:tcPr>
          <w:p w14:paraId="5F89E393">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olor w:val="000000"/>
                <w:sz w:val="26"/>
                <w:highlight w:val="none"/>
              </w:rPr>
            </w:pPr>
          </w:p>
          <w:p w14:paraId="3F9BEE6A">
            <w:pPr>
              <w:keepNext w:val="0"/>
              <w:keepLines w:val="0"/>
              <w:pageBreakBefore w:val="0"/>
              <w:widowControl w:val="0"/>
              <w:kinsoku/>
              <w:overflowPunct/>
              <w:topLinePunct w:val="0"/>
              <w:autoSpaceDE/>
              <w:autoSpaceDN/>
              <w:bidi w:val="0"/>
              <w:adjustRightInd/>
              <w:snapToGrid/>
              <w:spacing w:before="166"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2/4</w:t>
            </w:r>
          </w:p>
        </w:tc>
        <w:tc>
          <w:tcPr>
            <w:tcW w:w="1346" w:type="dxa"/>
            <w:tcBorders>
              <w:top w:val="single" w:color="000000" w:sz="4" w:space="0"/>
              <w:left w:val="single" w:color="000000" w:sz="4" w:space="0"/>
              <w:bottom w:val="single" w:color="000000" w:sz="4" w:space="0"/>
              <w:right w:val="single" w:color="000000" w:sz="4" w:space="0"/>
            </w:tcBorders>
            <w:vAlign w:val="top"/>
          </w:tcPr>
          <w:p w14:paraId="1195AB11">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olor w:val="000000"/>
                <w:sz w:val="26"/>
                <w:highlight w:val="none"/>
              </w:rPr>
            </w:pPr>
          </w:p>
          <w:p w14:paraId="174BD01B">
            <w:pPr>
              <w:keepNext w:val="0"/>
              <w:keepLines w:val="0"/>
              <w:pageBreakBefore w:val="0"/>
              <w:widowControl w:val="0"/>
              <w:kinsoku/>
              <w:overflowPunct/>
              <w:topLinePunct w:val="0"/>
              <w:autoSpaceDE/>
              <w:autoSpaceDN/>
              <w:bidi w:val="0"/>
              <w:adjustRightInd/>
              <w:snapToGrid/>
              <w:spacing w:before="146" w:after="0" w:line="400" w:lineRule="exact"/>
              <w:jc w:val="center"/>
              <w:textAlignment w:val="auto"/>
              <w:rPr>
                <w:rFonts w:hint="default" w:ascii="Calibri" w:hAnsi="Calibri" w:eastAsia="宋体" w:cs="Times New Roman"/>
                <w:color w:val="000000"/>
                <w:kern w:val="0"/>
                <w:sz w:val="26"/>
                <w:szCs w:val="22"/>
                <w:highlight w:val="none"/>
                <w:lang w:val="en-US" w:eastAsia="zh-CN"/>
              </w:rPr>
            </w:pPr>
            <w:r>
              <w:rPr>
                <w:rFonts w:hint="eastAsia" w:ascii="Calibri" w:hAnsi="Calibri" w:eastAsia="Calibri"/>
                <w:color w:val="000000"/>
                <w:sz w:val="26"/>
                <w:highlight w:val="none"/>
              </w:rPr>
              <w:t>2023.08</w:t>
            </w:r>
            <w:r>
              <w:rPr>
                <w:rFonts w:hint="eastAsia" w:ascii="Calibri" w:hAnsi="Calibri" w:eastAsia="宋体"/>
                <w:color w:val="000000"/>
                <w:sz w:val="26"/>
                <w:highlight w:val="none"/>
                <w:lang w:val="en-US" w:eastAsia="zh-CN"/>
              </w:rPr>
              <w:t>.11</w:t>
            </w:r>
          </w:p>
        </w:tc>
      </w:tr>
      <w:tr w14:paraId="0EB1615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1020" w:hRule="atLeast"/>
        </w:trPr>
        <w:tc>
          <w:tcPr>
            <w:tcW w:w="2258" w:type="dxa"/>
            <w:tcBorders>
              <w:top w:val="single" w:color="000000" w:sz="4" w:space="0"/>
              <w:left w:val="single" w:color="000000" w:sz="4" w:space="0"/>
              <w:bottom w:val="single" w:color="000000" w:sz="4" w:space="0"/>
              <w:right w:val="single" w:color="000000" w:sz="4" w:space="0"/>
            </w:tcBorders>
            <w:vAlign w:val="top"/>
          </w:tcPr>
          <w:p w14:paraId="42E253C8">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sz w:val="26"/>
                <w:highlight w:val="none"/>
              </w:rPr>
            </w:pPr>
            <w:r>
              <w:rPr>
                <w:rFonts w:hint="eastAsia" w:ascii="宋体" w:hAnsi="宋体" w:eastAsia="宋体"/>
                <w:color w:val="000000"/>
                <w:sz w:val="26"/>
                <w:highlight w:val="none"/>
              </w:rPr>
              <w:t>新生儿抚触虚</w:t>
            </w:r>
          </w:p>
          <w:p w14:paraId="08E23DD3">
            <w:pPr>
              <w:keepNext w:val="0"/>
              <w:keepLines w:val="0"/>
              <w:pageBreakBefore w:val="0"/>
              <w:widowControl w:val="0"/>
              <w:kinsoku/>
              <w:overflowPunct/>
              <w:topLinePunct w:val="0"/>
              <w:autoSpaceDE/>
              <w:autoSpaceDN/>
              <w:bidi w:val="0"/>
              <w:adjustRightInd/>
              <w:snapToGrid/>
              <w:spacing w:before="24" w:after="0" w:line="400" w:lineRule="exact"/>
              <w:jc w:val="center"/>
              <w:textAlignment w:val="auto"/>
              <w:rPr>
                <w:rFonts w:hint="eastAsia" w:ascii="宋体" w:hAnsi="宋体" w:eastAsia="宋体" w:cs="Times New Roman"/>
                <w:color w:val="000000"/>
                <w:kern w:val="0"/>
                <w:sz w:val="26"/>
                <w:szCs w:val="22"/>
                <w:highlight w:val="none"/>
              </w:rPr>
            </w:pPr>
            <w:r>
              <w:rPr>
                <w:rFonts w:hint="eastAsia" w:ascii="宋体" w:hAnsi="宋体" w:eastAsia="宋体"/>
                <w:color w:val="000000"/>
                <w:sz w:val="26"/>
                <w:highlight w:val="none"/>
              </w:rPr>
              <w:t>实结合系统</w:t>
            </w:r>
          </w:p>
        </w:tc>
        <w:tc>
          <w:tcPr>
            <w:tcW w:w="1378" w:type="dxa"/>
            <w:tcBorders>
              <w:top w:val="single" w:color="000000" w:sz="4" w:space="0"/>
              <w:left w:val="single" w:color="000000" w:sz="4" w:space="0"/>
              <w:bottom w:val="single" w:color="000000" w:sz="4" w:space="0"/>
              <w:right w:val="single" w:color="000000" w:sz="4" w:space="0"/>
            </w:tcBorders>
            <w:vAlign w:val="top"/>
          </w:tcPr>
          <w:p w14:paraId="273A733B">
            <w:pPr>
              <w:keepNext w:val="0"/>
              <w:keepLines w:val="0"/>
              <w:pageBreakBefore w:val="0"/>
              <w:widowControl w:val="0"/>
              <w:kinsoku/>
              <w:overflowPunct/>
              <w:topLinePunct w:val="0"/>
              <w:autoSpaceDE/>
              <w:autoSpaceDN/>
              <w:bidi w:val="0"/>
              <w:adjustRightInd/>
              <w:snapToGrid/>
              <w:spacing w:before="154" w:after="0" w:line="400" w:lineRule="exact"/>
              <w:jc w:val="center"/>
              <w:textAlignment w:val="auto"/>
              <w:rPr>
                <w:rFonts w:hint="eastAsia" w:ascii="宋体" w:hAnsi="宋体" w:eastAsia="宋体" w:cs="Times New Roman"/>
                <w:color w:val="000000"/>
                <w:kern w:val="0"/>
                <w:sz w:val="26"/>
                <w:szCs w:val="22"/>
                <w:highlight w:val="none"/>
              </w:rPr>
            </w:pPr>
            <w:r>
              <w:rPr>
                <w:rFonts w:hint="eastAsia" w:ascii="宋体" w:hAnsi="宋体" w:eastAsia="宋体"/>
                <w:color w:val="000000"/>
                <w:sz w:val="26"/>
                <w:highlight w:val="none"/>
              </w:rPr>
              <w:t>软件著作</w:t>
            </w:r>
          </w:p>
        </w:tc>
        <w:tc>
          <w:tcPr>
            <w:tcW w:w="2211" w:type="dxa"/>
            <w:tcBorders>
              <w:top w:val="single" w:color="000000" w:sz="4" w:space="0"/>
              <w:left w:val="single" w:color="000000" w:sz="4" w:space="0"/>
              <w:bottom w:val="single" w:color="000000" w:sz="4" w:space="0"/>
              <w:right w:val="single" w:color="000000" w:sz="4" w:space="0"/>
            </w:tcBorders>
            <w:vAlign w:val="top"/>
          </w:tcPr>
          <w:p w14:paraId="06C94811">
            <w:pPr>
              <w:keepNext w:val="0"/>
              <w:keepLines w:val="0"/>
              <w:pageBreakBefore w:val="0"/>
              <w:widowControl w:val="0"/>
              <w:kinsoku/>
              <w:overflowPunct/>
              <w:topLinePunct w:val="0"/>
              <w:autoSpaceDE/>
              <w:autoSpaceDN/>
              <w:bidi w:val="0"/>
              <w:adjustRightInd/>
              <w:snapToGrid/>
              <w:spacing w:before="153"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2023SR0930010</w:t>
            </w:r>
          </w:p>
        </w:tc>
        <w:tc>
          <w:tcPr>
            <w:tcW w:w="1133" w:type="dxa"/>
            <w:tcBorders>
              <w:top w:val="single" w:color="000000" w:sz="4" w:space="0"/>
              <w:left w:val="single" w:color="000000" w:sz="4" w:space="0"/>
              <w:bottom w:val="single" w:color="000000" w:sz="4" w:space="0"/>
              <w:right w:val="single" w:color="000000" w:sz="4" w:space="0"/>
            </w:tcBorders>
            <w:vAlign w:val="top"/>
          </w:tcPr>
          <w:p w14:paraId="4A13EC90">
            <w:pPr>
              <w:keepNext w:val="0"/>
              <w:keepLines w:val="0"/>
              <w:pageBreakBefore w:val="0"/>
              <w:widowControl w:val="0"/>
              <w:kinsoku/>
              <w:overflowPunct/>
              <w:topLinePunct w:val="0"/>
              <w:autoSpaceDE/>
              <w:autoSpaceDN/>
              <w:bidi w:val="0"/>
              <w:adjustRightInd/>
              <w:snapToGrid/>
              <w:spacing w:before="153"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3/4</w:t>
            </w:r>
          </w:p>
        </w:tc>
        <w:tc>
          <w:tcPr>
            <w:tcW w:w="1346" w:type="dxa"/>
            <w:tcBorders>
              <w:top w:val="single" w:color="000000" w:sz="4" w:space="0"/>
              <w:left w:val="single" w:color="000000" w:sz="4" w:space="0"/>
              <w:bottom w:val="single" w:color="000000" w:sz="4" w:space="0"/>
              <w:right w:val="single" w:color="000000" w:sz="4" w:space="0"/>
            </w:tcBorders>
            <w:vAlign w:val="top"/>
          </w:tcPr>
          <w:p w14:paraId="64987B30">
            <w:pPr>
              <w:keepNext w:val="0"/>
              <w:keepLines w:val="0"/>
              <w:pageBreakBefore w:val="0"/>
              <w:widowControl w:val="0"/>
              <w:kinsoku/>
              <w:overflowPunct/>
              <w:topLinePunct w:val="0"/>
              <w:autoSpaceDE/>
              <w:autoSpaceDN/>
              <w:bidi w:val="0"/>
              <w:adjustRightInd/>
              <w:snapToGrid/>
              <w:spacing w:before="133" w:after="0" w:line="400" w:lineRule="exact"/>
              <w:jc w:val="center"/>
              <w:textAlignment w:val="auto"/>
              <w:rPr>
                <w:rFonts w:hint="default" w:ascii="Calibri" w:hAnsi="Calibri" w:eastAsia="宋体" w:cs="Times New Roman"/>
                <w:color w:val="000000"/>
                <w:kern w:val="0"/>
                <w:sz w:val="26"/>
                <w:szCs w:val="22"/>
                <w:highlight w:val="none"/>
                <w:lang w:val="en-US" w:eastAsia="zh-CN"/>
              </w:rPr>
            </w:pPr>
            <w:r>
              <w:rPr>
                <w:rFonts w:hint="eastAsia" w:ascii="Calibri" w:hAnsi="Calibri" w:eastAsia="Calibri"/>
                <w:color w:val="000000"/>
                <w:sz w:val="26"/>
                <w:highlight w:val="none"/>
              </w:rPr>
              <w:t>2023.08</w:t>
            </w:r>
            <w:r>
              <w:rPr>
                <w:rFonts w:hint="eastAsia" w:ascii="Calibri" w:hAnsi="Calibri" w:eastAsia="宋体"/>
                <w:color w:val="000000"/>
                <w:sz w:val="26"/>
                <w:highlight w:val="none"/>
                <w:lang w:val="en-US" w:eastAsia="zh-CN"/>
              </w:rPr>
              <w:t>.14</w:t>
            </w:r>
          </w:p>
        </w:tc>
      </w:tr>
      <w:tr w14:paraId="62E13F0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1020" w:hRule="atLeast"/>
        </w:trPr>
        <w:tc>
          <w:tcPr>
            <w:tcW w:w="2258" w:type="dxa"/>
            <w:tcBorders>
              <w:top w:val="single" w:color="000000" w:sz="4" w:space="0"/>
              <w:left w:val="single" w:color="000000" w:sz="4" w:space="0"/>
              <w:bottom w:val="single" w:color="000000" w:sz="4" w:space="0"/>
              <w:right w:val="single" w:color="000000" w:sz="4" w:space="0"/>
            </w:tcBorders>
            <w:vAlign w:val="top"/>
          </w:tcPr>
          <w:p w14:paraId="57C93434">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一种静脉输液流程辅助检查设备</w:t>
            </w:r>
          </w:p>
        </w:tc>
        <w:tc>
          <w:tcPr>
            <w:tcW w:w="1378" w:type="dxa"/>
            <w:tcBorders>
              <w:top w:val="single" w:color="000000" w:sz="4" w:space="0"/>
              <w:left w:val="single" w:color="000000" w:sz="4" w:space="0"/>
              <w:bottom w:val="single" w:color="000000" w:sz="4" w:space="0"/>
              <w:right w:val="single" w:color="000000" w:sz="4" w:space="0"/>
            </w:tcBorders>
            <w:vAlign w:val="top"/>
          </w:tcPr>
          <w:p w14:paraId="608AC422">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发明专利</w:t>
            </w:r>
          </w:p>
        </w:tc>
        <w:tc>
          <w:tcPr>
            <w:tcW w:w="2211" w:type="dxa"/>
            <w:tcBorders>
              <w:top w:val="single" w:color="000000" w:sz="4" w:space="0"/>
              <w:left w:val="single" w:color="000000" w:sz="4" w:space="0"/>
              <w:bottom w:val="single" w:color="000000" w:sz="4" w:space="0"/>
              <w:right w:val="single" w:color="000000" w:sz="4" w:space="0"/>
            </w:tcBorders>
            <w:vAlign w:val="top"/>
          </w:tcPr>
          <w:p w14:paraId="07D8C047">
            <w:pPr>
              <w:keepNext w:val="0"/>
              <w:keepLines w:val="0"/>
              <w:pageBreakBefore w:val="0"/>
              <w:widowControl w:val="0"/>
              <w:kinsoku/>
              <w:overflowPunct/>
              <w:topLinePunct w:val="0"/>
              <w:autoSpaceDE/>
              <w:autoSpaceDN/>
              <w:bidi w:val="0"/>
              <w:adjustRightInd/>
              <w:snapToGrid/>
              <w:spacing w:before="127" w:after="0" w:line="400" w:lineRule="exact"/>
              <w:jc w:val="center"/>
              <w:textAlignment w:val="auto"/>
              <w:rPr>
                <w:sz w:val="28"/>
                <w:highlight w:val="none"/>
              </w:rPr>
            </w:pPr>
            <w:r>
              <w:rPr>
                <w:rFonts w:hint="eastAsia" w:ascii="Calibri" w:hAnsi="Calibri" w:eastAsia="Calibri"/>
                <w:color w:val="000000"/>
                <w:sz w:val="28"/>
                <w:highlight w:val="none"/>
              </w:rPr>
              <w:t>ZL 2022 1</w:t>
            </w:r>
          </w:p>
          <w:p w14:paraId="7784A541">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8"/>
                <w:highlight w:val="none"/>
              </w:rPr>
              <w:t>0434281.6</w:t>
            </w:r>
          </w:p>
        </w:tc>
        <w:tc>
          <w:tcPr>
            <w:tcW w:w="1133" w:type="dxa"/>
            <w:tcBorders>
              <w:top w:val="single" w:color="000000" w:sz="4" w:space="0"/>
              <w:left w:val="single" w:color="000000" w:sz="4" w:space="0"/>
              <w:bottom w:val="single" w:color="000000" w:sz="4" w:space="0"/>
              <w:right w:val="single" w:color="000000" w:sz="4" w:space="0"/>
            </w:tcBorders>
            <w:vAlign w:val="top"/>
          </w:tcPr>
          <w:p w14:paraId="508D0B0A">
            <w:pPr>
              <w:keepNext w:val="0"/>
              <w:keepLines w:val="0"/>
              <w:pageBreakBefore w:val="0"/>
              <w:widowControl w:val="0"/>
              <w:kinsoku/>
              <w:overflowPunct/>
              <w:topLinePunct w:val="0"/>
              <w:autoSpaceDE/>
              <w:autoSpaceDN/>
              <w:bidi w:val="0"/>
              <w:adjustRightInd/>
              <w:snapToGrid/>
              <w:spacing w:before="287"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8"/>
                <w:highlight w:val="none"/>
              </w:rPr>
              <w:t>1/7</w:t>
            </w:r>
          </w:p>
        </w:tc>
        <w:tc>
          <w:tcPr>
            <w:tcW w:w="1346" w:type="dxa"/>
            <w:tcBorders>
              <w:top w:val="single" w:color="000000" w:sz="4" w:space="0"/>
              <w:left w:val="single" w:color="000000" w:sz="4" w:space="0"/>
              <w:bottom w:val="single" w:color="000000" w:sz="4" w:space="0"/>
              <w:right w:val="single" w:color="000000" w:sz="4" w:space="0"/>
            </w:tcBorders>
            <w:vAlign w:val="top"/>
          </w:tcPr>
          <w:p w14:paraId="3986E94E">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Calibri" w:hAnsi="Calibri" w:eastAsia="Calibri" w:cs="Times New Roman"/>
                <w:color w:val="000000"/>
                <w:kern w:val="0"/>
                <w:sz w:val="26"/>
                <w:szCs w:val="22"/>
                <w:highlight w:val="none"/>
              </w:rPr>
            </w:pPr>
            <w:r>
              <w:rPr>
                <w:rFonts w:hint="eastAsia" w:ascii="Calibri" w:hAnsi="Calibri" w:eastAsia="Calibri"/>
                <w:color w:val="000000"/>
                <w:sz w:val="26"/>
                <w:highlight w:val="none"/>
              </w:rPr>
              <w:t>2023.10.03</w:t>
            </w:r>
          </w:p>
        </w:tc>
      </w:tr>
      <w:tr w14:paraId="113FDA4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1020" w:hRule="atLeast"/>
        </w:trPr>
        <w:tc>
          <w:tcPr>
            <w:tcW w:w="2258" w:type="dxa"/>
            <w:tcBorders>
              <w:top w:val="single" w:color="000000" w:sz="4" w:space="0"/>
              <w:left w:val="single" w:color="000000" w:sz="4" w:space="0"/>
              <w:bottom w:val="single" w:color="000000" w:sz="4" w:space="0"/>
              <w:right w:val="single" w:color="000000" w:sz="4" w:space="0"/>
            </w:tcBorders>
            <w:vAlign w:val="top"/>
          </w:tcPr>
          <w:p w14:paraId="6A23BCCA">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一种用于小儿惊厥护理教学的设备</w:t>
            </w:r>
          </w:p>
        </w:tc>
        <w:tc>
          <w:tcPr>
            <w:tcW w:w="1378" w:type="dxa"/>
            <w:tcBorders>
              <w:top w:val="single" w:color="000000" w:sz="4" w:space="0"/>
              <w:left w:val="single" w:color="000000" w:sz="4" w:space="0"/>
              <w:bottom w:val="single" w:color="000000" w:sz="4" w:space="0"/>
              <w:right w:val="single" w:color="000000" w:sz="4" w:space="0"/>
            </w:tcBorders>
            <w:vAlign w:val="top"/>
          </w:tcPr>
          <w:p w14:paraId="178B6019">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p>
          <w:p w14:paraId="5C0AAECB">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lang w:val="en-US" w:eastAsia="zh-CN"/>
              </w:rPr>
            </w:pPr>
            <w:r>
              <w:rPr>
                <w:rFonts w:hint="eastAsia" w:ascii="宋体" w:hAnsi="宋体" w:eastAsia="宋体"/>
                <w:color w:val="000000"/>
                <w:sz w:val="26"/>
                <w:highlight w:val="none"/>
                <w:lang w:val="en-US" w:eastAsia="zh-CN"/>
              </w:rPr>
              <w:t>实用新型</w:t>
            </w:r>
          </w:p>
        </w:tc>
        <w:tc>
          <w:tcPr>
            <w:tcW w:w="2211" w:type="dxa"/>
            <w:tcBorders>
              <w:top w:val="single" w:color="000000" w:sz="4" w:space="0"/>
              <w:left w:val="single" w:color="000000" w:sz="4" w:space="0"/>
              <w:bottom w:val="single" w:color="000000" w:sz="4" w:space="0"/>
              <w:right w:val="single" w:color="000000" w:sz="4" w:space="0"/>
            </w:tcBorders>
            <w:vAlign w:val="center"/>
          </w:tcPr>
          <w:p w14:paraId="16967282">
            <w:pPr>
              <w:keepNext w:val="0"/>
              <w:keepLines w:val="0"/>
              <w:pageBreakBefore w:val="0"/>
              <w:widowControl w:val="0"/>
              <w:kinsoku/>
              <w:overflowPunct/>
              <w:topLinePunct w:val="0"/>
              <w:autoSpaceDE/>
              <w:autoSpaceDN/>
              <w:bidi w:val="0"/>
              <w:adjustRightInd/>
              <w:snapToGrid/>
              <w:spacing w:before="171" w:after="0" w:line="400" w:lineRule="exact"/>
              <w:jc w:val="center"/>
              <w:textAlignment w:val="auto"/>
              <w:rPr>
                <w:rFonts w:hint="default" w:ascii="Calibri" w:hAnsi="Calibri" w:eastAsia="宋体" w:cs="Times New Roman"/>
                <w:color w:val="000000"/>
                <w:kern w:val="0"/>
                <w:sz w:val="26"/>
                <w:szCs w:val="22"/>
                <w:highlight w:val="none"/>
                <w:lang w:val="en-US" w:eastAsia="zh-CN"/>
              </w:rPr>
            </w:pPr>
            <w:r>
              <w:rPr>
                <w:rFonts w:hint="eastAsia" w:ascii="Calibri" w:hAnsi="Calibri" w:eastAsia="Calibri" w:cs="Times New Roman"/>
                <w:color w:val="000000"/>
                <w:kern w:val="0"/>
                <w:sz w:val="26"/>
                <w:szCs w:val="22"/>
                <w:highlight w:val="none"/>
                <w:lang w:val="en-US" w:eastAsia="zh-CN"/>
              </w:rPr>
              <w:t>ZL 2024 2 3152414.4</w:t>
            </w:r>
          </w:p>
        </w:tc>
        <w:tc>
          <w:tcPr>
            <w:tcW w:w="1133" w:type="dxa"/>
            <w:tcBorders>
              <w:top w:val="single" w:color="000000" w:sz="4" w:space="0"/>
              <w:left w:val="single" w:color="000000" w:sz="4" w:space="0"/>
              <w:bottom w:val="single" w:color="000000" w:sz="4" w:space="0"/>
              <w:right w:val="single" w:color="000000" w:sz="4" w:space="0"/>
            </w:tcBorders>
            <w:vAlign w:val="top"/>
          </w:tcPr>
          <w:p w14:paraId="0497655B">
            <w:pPr>
              <w:keepNext w:val="0"/>
              <w:keepLines w:val="0"/>
              <w:pageBreakBefore w:val="0"/>
              <w:widowControl w:val="0"/>
              <w:kinsoku/>
              <w:wordWrap w:val="0"/>
              <w:overflowPunct/>
              <w:topLinePunct w:val="0"/>
              <w:autoSpaceDE/>
              <w:autoSpaceDN/>
              <w:bidi w:val="0"/>
              <w:adjustRightInd/>
              <w:snapToGrid/>
              <w:spacing w:before="0" w:after="0" w:line="400" w:lineRule="exact"/>
              <w:ind w:firstLine="0"/>
              <w:jc w:val="both"/>
              <w:textAlignment w:val="auto"/>
              <w:rPr>
                <w:rFonts w:hint="eastAsia" w:ascii="宋体" w:hAnsi="宋体" w:eastAsia="宋体"/>
                <w:color w:val="000000"/>
                <w:sz w:val="28"/>
                <w:highlight w:val="none"/>
              </w:rPr>
            </w:pPr>
          </w:p>
          <w:p w14:paraId="7F74EB05">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Calibri" w:hAnsi="Calibri" w:eastAsia="宋体" w:cs="Times New Roman"/>
                <w:color w:val="000000"/>
                <w:kern w:val="0"/>
                <w:sz w:val="26"/>
                <w:szCs w:val="22"/>
                <w:highlight w:val="none"/>
                <w:lang w:eastAsia="zh-CN"/>
              </w:rPr>
            </w:pPr>
            <w:r>
              <w:rPr>
                <w:rFonts w:hint="eastAsia" w:ascii="Calibri" w:hAnsi="Calibri" w:eastAsia="Calibri"/>
                <w:color w:val="000000"/>
                <w:sz w:val="28"/>
                <w:highlight w:val="none"/>
              </w:rPr>
              <w:t>1/</w:t>
            </w:r>
            <w:r>
              <w:rPr>
                <w:rFonts w:hint="eastAsia" w:ascii="Calibri" w:hAnsi="Calibri" w:eastAsia="宋体"/>
                <w:color w:val="000000"/>
                <w:sz w:val="28"/>
                <w:highlight w:val="none"/>
                <w:lang w:val="en-US" w:eastAsia="zh-CN"/>
              </w:rPr>
              <w:t>4</w:t>
            </w:r>
          </w:p>
        </w:tc>
        <w:tc>
          <w:tcPr>
            <w:tcW w:w="1346" w:type="dxa"/>
            <w:tcBorders>
              <w:top w:val="single" w:color="000000" w:sz="4" w:space="0"/>
              <w:left w:val="single" w:color="000000" w:sz="4" w:space="0"/>
              <w:bottom w:val="single" w:color="000000" w:sz="4" w:space="0"/>
              <w:right w:val="single" w:color="000000" w:sz="4" w:space="0"/>
            </w:tcBorders>
            <w:vAlign w:val="center"/>
          </w:tcPr>
          <w:p w14:paraId="04EBF9E4">
            <w:pPr>
              <w:keepNext w:val="0"/>
              <w:keepLines w:val="0"/>
              <w:pageBreakBefore w:val="0"/>
              <w:widowControl w:val="0"/>
              <w:kinsoku/>
              <w:wordWrap w:val="0"/>
              <w:overflowPunct/>
              <w:topLinePunct w:val="0"/>
              <w:autoSpaceDE/>
              <w:autoSpaceDN/>
              <w:bidi w:val="0"/>
              <w:adjustRightInd/>
              <w:snapToGrid/>
              <w:spacing w:before="0" w:after="0" w:line="400" w:lineRule="exact"/>
              <w:ind w:firstLine="0" w:firstLineChars="0"/>
              <w:jc w:val="both"/>
              <w:textAlignment w:val="auto"/>
              <w:rPr>
                <w:rFonts w:hint="default" w:ascii="Calibri" w:hAnsi="Calibri" w:eastAsia="宋体" w:cs="Times New Roman"/>
                <w:color w:val="000000"/>
                <w:kern w:val="0"/>
                <w:sz w:val="26"/>
                <w:szCs w:val="22"/>
                <w:highlight w:val="none"/>
                <w:lang w:val="en-US" w:eastAsia="zh-CN"/>
              </w:rPr>
            </w:pPr>
            <w:r>
              <w:rPr>
                <w:rFonts w:hint="eastAsia" w:ascii="Calibri" w:hAnsi="Calibri" w:eastAsia="Calibri"/>
                <w:color w:val="000000"/>
                <w:sz w:val="26"/>
                <w:highlight w:val="none"/>
              </w:rPr>
              <w:t>202</w:t>
            </w:r>
            <w:r>
              <w:rPr>
                <w:rFonts w:hint="eastAsia" w:ascii="Calibri" w:hAnsi="Calibri" w:eastAsia="Calibri"/>
                <w:color w:val="000000"/>
                <w:sz w:val="26"/>
                <w:highlight w:val="none"/>
                <w:lang w:val="en-US" w:eastAsia="zh-CN"/>
              </w:rPr>
              <w:t>5</w:t>
            </w:r>
            <w:r>
              <w:rPr>
                <w:rFonts w:hint="eastAsia" w:ascii="Calibri" w:hAnsi="Calibri" w:eastAsia="Calibri"/>
                <w:color w:val="000000"/>
                <w:sz w:val="26"/>
                <w:highlight w:val="none"/>
              </w:rPr>
              <w:t>.12</w:t>
            </w:r>
            <w:r>
              <w:rPr>
                <w:rFonts w:hint="eastAsia" w:ascii="Calibri" w:hAnsi="Calibri" w:eastAsia="Calibri"/>
                <w:color w:val="000000"/>
                <w:sz w:val="26"/>
                <w:highlight w:val="none"/>
                <w:lang w:val="en-US" w:eastAsia="zh-CN"/>
              </w:rPr>
              <w:t>.19</w:t>
            </w:r>
          </w:p>
        </w:tc>
      </w:tr>
      <w:tr w14:paraId="07CB491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1020" w:hRule="atLeast"/>
        </w:trPr>
        <w:tc>
          <w:tcPr>
            <w:tcW w:w="2258" w:type="dxa"/>
            <w:tcBorders>
              <w:top w:val="single" w:color="000000" w:sz="4" w:space="0"/>
              <w:left w:val="single" w:color="000000" w:sz="4" w:space="0"/>
              <w:bottom w:val="single" w:color="000000" w:sz="4" w:space="0"/>
              <w:right w:val="single" w:color="000000" w:sz="4" w:space="0"/>
            </w:tcBorders>
            <w:vAlign w:val="top"/>
          </w:tcPr>
          <w:p w14:paraId="6FF580B0">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eastAsia" w:ascii="宋体" w:hAnsi="宋体" w:eastAsia="宋体"/>
                <w:color w:val="000000"/>
                <w:sz w:val="26"/>
                <w:highlight w:val="none"/>
              </w:rPr>
            </w:pPr>
            <w:r>
              <w:rPr>
                <w:rFonts w:hint="eastAsia" w:ascii="宋体" w:hAnsi="宋体" w:eastAsia="宋体"/>
                <w:color w:val="000000"/>
                <w:sz w:val="26"/>
                <w:highlight w:val="none"/>
              </w:rPr>
              <w:t>南湖护理教学系统V1.0</w:t>
            </w:r>
          </w:p>
        </w:tc>
        <w:tc>
          <w:tcPr>
            <w:tcW w:w="1378" w:type="dxa"/>
            <w:tcBorders>
              <w:top w:val="single" w:color="000000" w:sz="4" w:space="0"/>
              <w:left w:val="single" w:color="000000" w:sz="4" w:space="0"/>
              <w:bottom w:val="single" w:color="000000" w:sz="4" w:space="0"/>
              <w:right w:val="single" w:color="000000" w:sz="4" w:space="0"/>
            </w:tcBorders>
            <w:vAlign w:val="top"/>
          </w:tcPr>
          <w:p w14:paraId="73D57B56">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default" w:ascii="宋体" w:hAnsi="宋体" w:eastAsia="宋体"/>
                <w:color w:val="000000"/>
                <w:sz w:val="26"/>
                <w:highlight w:val="none"/>
                <w:lang w:val="en-US" w:eastAsia="zh-CN"/>
              </w:rPr>
            </w:pPr>
            <w:r>
              <w:rPr>
                <w:rFonts w:hint="eastAsia" w:ascii="宋体" w:hAnsi="宋体" w:eastAsia="宋体"/>
                <w:color w:val="000000"/>
                <w:sz w:val="26"/>
                <w:highlight w:val="none"/>
                <w:lang w:val="en-US" w:eastAsia="zh-CN"/>
              </w:rPr>
              <w:t>软件著作</w:t>
            </w:r>
          </w:p>
        </w:tc>
        <w:tc>
          <w:tcPr>
            <w:tcW w:w="2211" w:type="dxa"/>
            <w:tcBorders>
              <w:top w:val="single" w:color="000000" w:sz="4" w:space="0"/>
              <w:left w:val="single" w:color="000000" w:sz="4" w:space="0"/>
              <w:bottom w:val="single" w:color="000000" w:sz="4" w:space="0"/>
              <w:right w:val="single" w:color="000000" w:sz="4" w:space="0"/>
            </w:tcBorders>
            <w:vAlign w:val="center"/>
          </w:tcPr>
          <w:p w14:paraId="2F75F891">
            <w:pPr>
              <w:keepNext w:val="0"/>
              <w:keepLines w:val="0"/>
              <w:pageBreakBefore w:val="0"/>
              <w:widowControl w:val="0"/>
              <w:kinsoku/>
              <w:overflowPunct/>
              <w:topLinePunct w:val="0"/>
              <w:autoSpaceDE/>
              <w:autoSpaceDN/>
              <w:bidi w:val="0"/>
              <w:adjustRightInd/>
              <w:snapToGrid/>
              <w:spacing w:before="171" w:after="0" w:line="400" w:lineRule="exact"/>
              <w:jc w:val="center"/>
              <w:textAlignment w:val="auto"/>
              <w:rPr>
                <w:rFonts w:hint="eastAsia" w:ascii="Calibri" w:hAnsi="Calibri" w:eastAsia="Calibri" w:cs="Times New Roman"/>
                <w:color w:val="000000"/>
                <w:kern w:val="0"/>
                <w:sz w:val="26"/>
                <w:szCs w:val="22"/>
                <w:highlight w:val="none"/>
                <w:lang w:val="en-US" w:eastAsia="zh-CN"/>
              </w:rPr>
            </w:pPr>
            <w:r>
              <w:rPr>
                <w:rFonts w:hint="eastAsia" w:ascii="Calibri" w:hAnsi="Calibri" w:eastAsia="Calibri" w:cs="Times New Roman"/>
                <w:color w:val="000000"/>
                <w:kern w:val="0"/>
                <w:sz w:val="26"/>
                <w:szCs w:val="22"/>
                <w:highlight w:val="none"/>
                <w:lang w:val="en-US" w:eastAsia="zh-CN"/>
              </w:rPr>
              <w:t>2026SR0469739</w:t>
            </w:r>
          </w:p>
        </w:tc>
        <w:tc>
          <w:tcPr>
            <w:tcW w:w="1133" w:type="dxa"/>
            <w:tcBorders>
              <w:top w:val="single" w:color="000000" w:sz="4" w:space="0"/>
              <w:left w:val="single" w:color="000000" w:sz="4" w:space="0"/>
              <w:bottom w:val="single" w:color="000000" w:sz="4" w:space="0"/>
              <w:right w:val="single" w:color="000000" w:sz="4" w:space="0"/>
            </w:tcBorders>
            <w:vAlign w:val="top"/>
          </w:tcPr>
          <w:p w14:paraId="16FD368A">
            <w:pPr>
              <w:keepNext w:val="0"/>
              <w:keepLines w:val="0"/>
              <w:pageBreakBefore w:val="0"/>
              <w:widowControl w:val="0"/>
              <w:kinsoku/>
              <w:overflowPunct/>
              <w:topLinePunct w:val="0"/>
              <w:autoSpaceDE/>
              <w:autoSpaceDN/>
              <w:bidi w:val="0"/>
              <w:adjustRightInd/>
              <w:snapToGrid/>
              <w:spacing w:before="0" w:after="0" w:line="400" w:lineRule="exact"/>
              <w:jc w:val="center"/>
              <w:textAlignment w:val="auto"/>
              <w:rPr>
                <w:rFonts w:hint="default" w:ascii="Calibri" w:hAnsi="Calibri" w:eastAsia="宋体"/>
                <w:color w:val="000000"/>
                <w:sz w:val="28"/>
                <w:highlight w:val="none"/>
                <w:lang w:val="en-US" w:eastAsia="zh-CN"/>
              </w:rPr>
            </w:pPr>
            <w:r>
              <w:rPr>
                <w:rFonts w:hint="eastAsia" w:ascii="Calibri" w:hAnsi="Calibri" w:eastAsia="宋体"/>
                <w:color w:val="000000"/>
                <w:sz w:val="28"/>
                <w:highlight w:val="none"/>
                <w:lang w:val="en-US" w:eastAsia="zh-CN"/>
              </w:rPr>
              <w:t>1/2</w:t>
            </w:r>
          </w:p>
        </w:tc>
        <w:tc>
          <w:tcPr>
            <w:tcW w:w="1346" w:type="dxa"/>
            <w:tcBorders>
              <w:top w:val="single" w:color="000000" w:sz="4" w:space="0"/>
              <w:left w:val="single" w:color="000000" w:sz="4" w:space="0"/>
              <w:bottom w:val="single" w:color="000000" w:sz="4" w:space="0"/>
              <w:right w:val="single" w:color="000000" w:sz="4" w:space="0"/>
            </w:tcBorders>
            <w:vAlign w:val="center"/>
          </w:tcPr>
          <w:p w14:paraId="47171B19">
            <w:pPr>
              <w:keepNext w:val="0"/>
              <w:keepLines w:val="0"/>
              <w:pageBreakBefore w:val="0"/>
              <w:widowControl w:val="0"/>
              <w:kinsoku/>
              <w:wordWrap w:val="0"/>
              <w:overflowPunct/>
              <w:topLinePunct w:val="0"/>
              <w:autoSpaceDE/>
              <w:autoSpaceDN/>
              <w:bidi w:val="0"/>
              <w:adjustRightInd/>
              <w:snapToGrid/>
              <w:spacing w:before="0" w:after="0" w:line="400" w:lineRule="exact"/>
              <w:ind w:firstLine="0" w:firstLineChars="0"/>
              <w:jc w:val="both"/>
              <w:textAlignment w:val="auto"/>
              <w:rPr>
                <w:rFonts w:hint="default" w:ascii="Calibri" w:hAnsi="Calibri" w:eastAsia="宋体"/>
                <w:color w:val="000000"/>
                <w:sz w:val="26"/>
                <w:highlight w:val="none"/>
                <w:lang w:val="en-US" w:eastAsia="zh-CN"/>
              </w:rPr>
            </w:pPr>
            <w:r>
              <w:rPr>
                <w:rFonts w:hint="eastAsia" w:ascii="Calibri" w:hAnsi="Calibri" w:eastAsia="宋体"/>
                <w:color w:val="000000"/>
                <w:sz w:val="26"/>
                <w:highlight w:val="none"/>
                <w:lang w:val="en-US" w:eastAsia="zh-CN"/>
              </w:rPr>
              <w:t>2026.03.20</w:t>
            </w:r>
          </w:p>
        </w:tc>
      </w:tr>
    </w:tbl>
    <w:p w14:paraId="468C75C9">
      <w:pPr>
        <w:rPr>
          <w:rFonts w:hint="eastAsia"/>
          <w:sz w:val="28"/>
          <w:szCs w:val="36"/>
          <w:highlight w:val="none"/>
          <w:lang w:eastAsia="zh-CN"/>
        </w:rPr>
      </w:pPr>
    </w:p>
    <w:p w14:paraId="171A7F56">
      <w:pPr>
        <w:rPr>
          <w:rFonts w:hint="eastAsia"/>
          <w:sz w:val="28"/>
          <w:szCs w:val="36"/>
          <w:highlight w:val="none"/>
          <w:lang w:eastAsia="zh-CN"/>
        </w:rPr>
      </w:pPr>
      <w:r>
        <w:rPr>
          <w:rFonts w:hint="eastAsia"/>
          <w:b/>
          <w:bCs/>
          <w:sz w:val="28"/>
          <w:szCs w:val="36"/>
          <w:highlight w:val="none"/>
          <w:lang w:eastAsia="zh-CN"/>
        </w:rPr>
        <w:t>指导学生比赛：</w:t>
      </w:r>
    </w:p>
    <w:p w14:paraId="7FB22FB7">
      <w:pPr>
        <w:rPr>
          <w:rFonts w:hint="eastAsia"/>
          <w:sz w:val="28"/>
          <w:szCs w:val="36"/>
          <w:highlight w:val="none"/>
          <w:lang w:eastAsia="zh-CN"/>
        </w:rPr>
      </w:pPr>
      <w:r>
        <w:rPr>
          <w:rFonts w:hint="eastAsia"/>
          <w:b/>
          <w:bCs/>
          <w:sz w:val="28"/>
          <w:szCs w:val="36"/>
          <w:highlight w:val="none"/>
          <w:lang w:eastAsia="zh-CN"/>
        </w:rPr>
        <w:t>技能赛：</w:t>
      </w:r>
    </w:p>
    <w:p w14:paraId="68C15165">
      <w:pPr>
        <w:rPr>
          <w:rFonts w:hint="default"/>
          <w:sz w:val="28"/>
          <w:szCs w:val="36"/>
          <w:highlight w:val="none"/>
          <w:lang w:val="en-US" w:eastAsia="zh-CN"/>
        </w:rPr>
      </w:pPr>
      <w:r>
        <w:rPr>
          <w:rFonts w:hint="eastAsia"/>
          <w:sz w:val="28"/>
          <w:szCs w:val="36"/>
          <w:highlight w:val="none"/>
          <w:lang w:eastAsia="zh-CN"/>
        </w:rPr>
        <w:t>2020.11 指导学生</w:t>
      </w:r>
      <w:r>
        <w:rPr>
          <w:rFonts w:hint="eastAsia"/>
          <w:sz w:val="28"/>
          <w:szCs w:val="36"/>
          <w:highlight w:val="none"/>
          <w:lang w:eastAsia="zh-CN"/>
        </w:rPr>
        <w:t>全国</w:t>
      </w:r>
      <w:r>
        <w:rPr>
          <w:rFonts w:hint="eastAsia"/>
          <w:sz w:val="28"/>
          <w:szCs w:val="36"/>
          <w:highlight w:val="none"/>
          <w:lang w:eastAsia="zh-CN"/>
        </w:rPr>
        <w:t>职业院校技能大赛健康与社会照护赛项获</w:t>
      </w:r>
      <w:r>
        <w:rPr>
          <w:rFonts w:hint="eastAsia"/>
          <w:sz w:val="28"/>
          <w:szCs w:val="36"/>
          <w:highlight w:val="none"/>
          <w:lang w:eastAsia="zh-CN"/>
        </w:rPr>
        <w:t>一等奖</w:t>
      </w:r>
      <w:r>
        <w:rPr>
          <w:rFonts w:hint="eastAsia"/>
          <w:sz w:val="28"/>
          <w:szCs w:val="36"/>
          <w:highlight w:val="none"/>
          <w:lang w:eastAsia="zh-CN"/>
        </w:rPr>
        <w:t>，获</w:t>
      </w:r>
      <w:r>
        <w:rPr>
          <w:rFonts w:hint="eastAsia"/>
          <w:sz w:val="28"/>
          <w:szCs w:val="36"/>
          <w:highlight w:val="none"/>
          <w:lang w:eastAsia="zh-CN"/>
        </w:rPr>
        <w:t>“</w:t>
      </w:r>
      <w:r>
        <w:rPr>
          <w:rFonts w:hint="eastAsia"/>
          <w:sz w:val="28"/>
          <w:szCs w:val="36"/>
          <w:highlight w:val="none"/>
          <w:lang w:val="en-US" w:eastAsia="zh-CN"/>
        </w:rPr>
        <w:t>优秀指导教师</w:t>
      </w:r>
      <w:r>
        <w:rPr>
          <w:rFonts w:hint="eastAsia"/>
          <w:sz w:val="28"/>
          <w:szCs w:val="36"/>
          <w:highlight w:val="none"/>
          <w:lang w:eastAsia="zh-CN"/>
        </w:rPr>
        <w:t>”</w:t>
      </w:r>
      <w:r>
        <w:rPr>
          <w:rFonts w:hint="eastAsia"/>
          <w:sz w:val="28"/>
          <w:szCs w:val="36"/>
          <w:highlight w:val="none"/>
          <w:lang w:val="en-US" w:eastAsia="zh-CN"/>
        </w:rPr>
        <w:t>奖</w:t>
      </w:r>
    </w:p>
    <w:p w14:paraId="02B93F6F">
      <w:pPr>
        <w:rPr>
          <w:rFonts w:hint="eastAsia"/>
          <w:sz w:val="28"/>
          <w:szCs w:val="36"/>
          <w:highlight w:val="none"/>
          <w:lang w:eastAsia="zh-CN"/>
        </w:rPr>
      </w:pPr>
      <w:r>
        <w:rPr>
          <w:rFonts w:hint="eastAsia"/>
          <w:sz w:val="28"/>
          <w:szCs w:val="36"/>
          <w:highlight w:val="none"/>
          <w:lang w:eastAsia="zh-CN"/>
        </w:rPr>
        <w:t>2023年 指导学生上海市第十届星光杯职业院校技能大赛（高职组）“健康与社会照护”赛项 二等奖</w:t>
      </w:r>
    </w:p>
    <w:p w14:paraId="20407988">
      <w:pPr>
        <w:rPr>
          <w:rFonts w:hint="eastAsia"/>
          <w:sz w:val="28"/>
          <w:szCs w:val="36"/>
          <w:highlight w:val="none"/>
          <w:lang w:eastAsia="zh-CN"/>
        </w:rPr>
      </w:pPr>
      <w:r>
        <w:rPr>
          <w:rFonts w:hint="eastAsia"/>
          <w:sz w:val="28"/>
          <w:szCs w:val="36"/>
          <w:highlight w:val="none"/>
          <w:lang w:eastAsia="zh-CN"/>
        </w:rPr>
        <w:t>2024.06 指导学生获2024全国职业院校技能大赛（中级组）上海选拔赛“养老照护”赛项 三等奖</w:t>
      </w:r>
    </w:p>
    <w:p w14:paraId="446816F2">
      <w:pPr>
        <w:rPr>
          <w:rFonts w:hint="eastAsia"/>
          <w:sz w:val="28"/>
          <w:szCs w:val="36"/>
          <w:highlight w:val="none"/>
          <w:lang w:eastAsia="zh-CN"/>
        </w:rPr>
      </w:pPr>
      <w:r>
        <w:rPr>
          <w:rFonts w:hint="eastAsia"/>
          <w:sz w:val="28"/>
          <w:szCs w:val="36"/>
          <w:highlight w:val="none"/>
          <w:lang w:eastAsia="zh-CN"/>
        </w:rPr>
        <w:t>2024.11 指导学生获</w:t>
      </w:r>
      <w:r>
        <w:rPr>
          <w:rFonts w:hint="eastAsia"/>
          <w:sz w:val="28"/>
          <w:szCs w:val="36"/>
          <w:highlight w:val="none"/>
          <w:lang w:eastAsia="zh-CN"/>
        </w:rPr>
        <w:t>世界</w:t>
      </w:r>
      <w:r>
        <w:rPr>
          <w:rFonts w:hint="eastAsia"/>
          <w:sz w:val="28"/>
          <w:szCs w:val="36"/>
          <w:highlight w:val="none"/>
          <w:lang w:eastAsia="zh-CN"/>
        </w:rPr>
        <w:t>职业院校技能大赛健康养老照护赛项</w:t>
      </w:r>
      <w:r>
        <w:rPr>
          <w:rFonts w:hint="eastAsia"/>
          <w:sz w:val="28"/>
          <w:szCs w:val="36"/>
          <w:highlight w:val="none"/>
          <w:lang w:eastAsia="zh-CN"/>
        </w:rPr>
        <w:t>金牌</w:t>
      </w:r>
    </w:p>
    <w:p w14:paraId="20E802AD">
      <w:pPr>
        <w:rPr>
          <w:rFonts w:hint="default"/>
          <w:sz w:val="28"/>
          <w:szCs w:val="36"/>
          <w:highlight w:val="none"/>
          <w:lang w:val="en-US" w:eastAsia="zh-CN"/>
        </w:rPr>
      </w:pPr>
      <w:r>
        <w:rPr>
          <w:rFonts w:hint="eastAsia"/>
          <w:sz w:val="28"/>
          <w:szCs w:val="36"/>
          <w:highlight w:val="none"/>
          <w:lang w:eastAsia="zh-CN"/>
        </w:rPr>
        <w:t>2024.12 指导学生获</w:t>
      </w:r>
      <w:r>
        <w:rPr>
          <w:rFonts w:hint="eastAsia"/>
          <w:sz w:val="28"/>
          <w:szCs w:val="36"/>
          <w:highlight w:val="none"/>
          <w:lang w:val="en-US" w:eastAsia="zh-CN"/>
        </w:rPr>
        <w:t>全国</w:t>
      </w:r>
      <w:r>
        <w:rPr>
          <w:rFonts w:hint="eastAsia"/>
          <w:sz w:val="28"/>
          <w:szCs w:val="36"/>
          <w:highlight w:val="none"/>
          <w:lang w:eastAsia="zh-CN"/>
        </w:rPr>
        <w:t>“一带一路”暨金砖国家技能发展与技术创新大赛首届急救护理技能赛项二等奖</w:t>
      </w:r>
      <w:r>
        <w:rPr>
          <w:rFonts w:hint="eastAsia"/>
          <w:sz w:val="28"/>
          <w:szCs w:val="36"/>
          <w:highlight w:val="none"/>
          <w:lang w:val="en-US" w:eastAsia="zh-CN"/>
        </w:rPr>
        <w:t xml:space="preserve"> </w:t>
      </w:r>
    </w:p>
    <w:p w14:paraId="7D6ED8FF">
      <w:pPr>
        <w:rPr>
          <w:rFonts w:hint="eastAsia"/>
          <w:sz w:val="28"/>
          <w:szCs w:val="36"/>
          <w:highlight w:val="none"/>
          <w:lang w:val="en-US" w:eastAsia="zh-CN"/>
        </w:rPr>
      </w:pPr>
      <w:r>
        <w:rPr>
          <w:rFonts w:hint="eastAsia"/>
          <w:sz w:val="28"/>
          <w:szCs w:val="36"/>
          <w:highlight w:val="none"/>
          <w:lang w:val="en-US" w:eastAsia="zh-CN"/>
        </w:rPr>
        <w:t>2025.06指导学生获上海市“星光计划”第十一届职业院校技能大赛护理技能一等奖</w:t>
      </w:r>
    </w:p>
    <w:p w14:paraId="4273F2C1">
      <w:pPr>
        <w:rPr>
          <w:rFonts w:hint="default"/>
          <w:sz w:val="28"/>
          <w:szCs w:val="36"/>
          <w:highlight w:val="none"/>
          <w:lang w:val="en-US" w:eastAsia="zh-CN"/>
        </w:rPr>
      </w:pPr>
      <w:r>
        <w:rPr>
          <w:rFonts w:hint="eastAsia"/>
          <w:sz w:val="28"/>
          <w:szCs w:val="36"/>
          <w:highlight w:val="none"/>
          <w:lang w:val="en-US" w:eastAsia="zh-CN"/>
        </w:rPr>
        <w:t>2025.11指导学生获</w:t>
      </w:r>
      <w:r>
        <w:rPr>
          <w:rFonts w:hint="eastAsia"/>
          <w:sz w:val="28"/>
          <w:szCs w:val="36"/>
          <w:highlight w:val="none"/>
          <w:lang w:val="en-US" w:eastAsia="zh-CN"/>
        </w:rPr>
        <w:t>全国</w:t>
      </w:r>
      <w:r>
        <w:rPr>
          <w:rFonts w:hint="eastAsia"/>
          <w:sz w:val="28"/>
          <w:szCs w:val="36"/>
          <w:highlight w:val="none"/>
          <w:lang w:val="en-US" w:eastAsia="zh-CN"/>
        </w:rPr>
        <w:t>“一带一路”暨金砖国家技能发展与技术创新大赛第二届急救护理技能赛项一等奖，获评“优秀指导教师”。</w:t>
      </w:r>
    </w:p>
    <w:p w14:paraId="2983F9D2">
      <w:pPr>
        <w:rPr>
          <w:rFonts w:hint="eastAsia"/>
          <w:sz w:val="28"/>
          <w:szCs w:val="36"/>
          <w:highlight w:val="none"/>
          <w:lang w:eastAsia="zh-CN"/>
        </w:rPr>
      </w:pPr>
      <w:r>
        <w:rPr>
          <w:rFonts w:hint="eastAsia"/>
          <w:sz w:val="28"/>
          <w:szCs w:val="36"/>
          <w:highlight w:val="none"/>
          <w:lang w:eastAsia="zh-CN"/>
        </w:rPr>
        <w:t>2026.</w:t>
      </w:r>
      <w:r>
        <w:rPr>
          <w:rFonts w:hint="eastAsia"/>
          <w:sz w:val="28"/>
          <w:szCs w:val="36"/>
          <w:highlight w:val="none"/>
          <w:lang w:val="en-US" w:eastAsia="zh-CN"/>
        </w:rPr>
        <w:t>06指导学生获</w:t>
      </w:r>
      <w:r>
        <w:rPr>
          <w:rFonts w:hint="eastAsia"/>
          <w:sz w:val="28"/>
          <w:szCs w:val="36"/>
          <w:highlight w:val="none"/>
          <w:lang w:eastAsia="zh-CN"/>
        </w:rPr>
        <w:t>上海市职业院校学生技能大赛康复治疗与护理赛道(中职组)二等奖</w:t>
      </w:r>
    </w:p>
    <w:p w14:paraId="18A8EA7D">
      <w:pPr>
        <w:rPr>
          <w:rFonts w:hint="eastAsia"/>
          <w:sz w:val="28"/>
          <w:szCs w:val="36"/>
          <w:highlight w:val="none"/>
          <w:lang w:eastAsia="zh-CN"/>
        </w:rPr>
      </w:pPr>
    </w:p>
    <w:p w14:paraId="3EC7C793">
      <w:pPr>
        <w:rPr>
          <w:rFonts w:hint="eastAsia"/>
          <w:sz w:val="28"/>
          <w:szCs w:val="36"/>
          <w:highlight w:val="none"/>
          <w:lang w:eastAsia="zh-CN"/>
        </w:rPr>
      </w:pPr>
      <w:r>
        <w:rPr>
          <w:rFonts w:hint="eastAsia"/>
          <w:b/>
          <w:bCs/>
          <w:sz w:val="28"/>
          <w:szCs w:val="36"/>
          <w:highlight w:val="none"/>
          <w:lang w:eastAsia="zh-CN"/>
        </w:rPr>
        <w:t>双创比赛：</w:t>
      </w:r>
    </w:p>
    <w:p w14:paraId="55CA7FA2">
      <w:pPr>
        <w:rPr>
          <w:rFonts w:hint="eastAsia"/>
          <w:sz w:val="28"/>
          <w:szCs w:val="36"/>
          <w:highlight w:val="none"/>
          <w:lang w:eastAsia="zh-CN"/>
        </w:rPr>
      </w:pPr>
      <w:r>
        <w:rPr>
          <w:rFonts w:hint="eastAsia"/>
          <w:sz w:val="28"/>
          <w:szCs w:val="36"/>
          <w:highlight w:val="none"/>
          <w:lang w:eastAsia="zh-CN"/>
        </w:rPr>
        <w:t>2022.06 指导学生第八届中国国际互联网＋＂大学生创新创业大赛上海赛区银奖，最具工匠精神奖；</w:t>
      </w:r>
    </w:p>
    <w:p w14:paraId="489D0295">
      <w:pPr>
        <w:rPr>
          <w:rFonts w:hint="eastAsia"/>
          <w:sz w:val="28"/>
          <w:szCs w:val="36"/>
          <w:highlight w:val="none"/>
          <w:lang w:eastAsia="zh-CN"/>
        </w:rPr>
      </w:pPr>
      <w:r>
        <w:rPr>
          <w:rFonts w:hint="eastAsia"/>
          <w:sz w:val="28"/>
          <w:szCs w:val="36"/>
          <w:highlight w:val="none"/>
          <w:lang w:eastAsia="zh-CN"/>
        </w:rPr>
        <w:t>2022.05</w:t>
      </w:r>
      <w:r>
        <w:rPr>
          <w:rFonts w:hint="eastAsia"/>
          <w:sz w:val="28"/>
          <w:szCs w:val="36"/>
          <w:highlight w:val="none"/>
          <w:lang w:eastAsia="zh-CN"/>
        </w:rPr>
        <w:tab/>
      </w:r>
      <w:r>
        <w:rPr>
          <w:rFonts w:hint="eastAsia"/>
          <w:sz w:val="28"/>
          <w:szCs w:val="36"/>
          <w:highlight w:val="none"/>
          <w:lang w:eastAsia="zh-CN"/>
        </w:rPr>
        <w:t>指导学生第十三届“挑战杯”上海市大学生创业计划竞赛获铜奖</w:t>
      </w:r>
    </w:p>
    <w:p w14:paraId="49C24241">
      <w:pPr>
        <w:rPr>
          <w:rFonts w:hint="eastAsia"/>
          <w:sz w:val="28"/>
          <w:szCs w:val="36"/>
          <w:highlight w:val="none"/>
          <w:lang w:eastAsia="zh-CN"/>
        </w:rPr>
      </w:pPr>
      <w:r>
        <w:rPr>
          <w:rFonts w:hint="eastAsia"/>
          <w:sz w:val="28"/>
          <w:szCs w:val="36"/>
          <w:highlight w:val="none"/>
          <w:lang w:eastAsia="zh-CN"/>
        </w:rPr>
        <w:t>2023.09</w:t>
      </w:r>
      <w:r>
        <w:rPr>
          <w:rFonts w:hint="eastAsia"/>
          <w:sz w:val="28"/>
          <w:szCs w:val="36"/>
          <w:highlight w:val="none"/>
          <w:lang w:eastAsia="zh-CN"/>
        </w:rPr>
        <w:tab/>
      </w:r>
      <w:r>
        <w:rPr>
          <w:rFonts w:hint="eastAsia"/>
          <w:sz w:val="28"/>
          <w:szCs w:val="36"/>
          <w:highlight w:val="none"/>
          <w:lang w:eastAsia="zh-CN"/>
        </w:rPr>
        <w:t>指导学生第九届中国国际“互联网＋”大学生创新创业大赛上海赛区铜奖</w:t>
      </w:r>
    </w:p>
    <w:p w14:paraId="5E1D5940">
      <w:pPr>
        <w:rPr>
          <w:rFonts w:hint="eastAsia"/>
          <w:sz w:val="28"/>
          <w:szCs w:val="36"/>
          <w:highlight w:val="none"/>
          <w:lang w:eastAsia="zh-CN"/>
        </w:rPr>
      </w:pPr>
      <w:r>
        <w:rPr>
          <w:rFonts w:hint="eastAsia"/>
          <w:sz w:val="28"/>
          <w:szCs w:val="36"/>
          <w:highlight w:val="none"/>
          <w:lang w:eastAsia="zh-CN"/>
        </w:rPr>
        <w:t>2024.09</w:t>
      </w:r>
      <w:r>
        <w:rPr>
          <w:rFonts w:hint="eastAsia"/>
          <w:sz w:val="28"/>
          <w:szCs w:val="36"/>
          <w:highlight w:val="none"/>
          <w:lang w:eastAsia="zh-CN"/>
        </w:rPr>
        <w:tab/>
      </w:r>
      <w:r>
        <w:rPr>
          <w:rFonts w:hint="eastAsia"/>
          <w:sz w:val="28"/>
          <w:szCs w:val="36"/>
          <w:highlight w:val="none"/>
          <w:lang w:eastAsia="zh-CN"/>
        </w:rPr>
        <w:t>指导学生获中国国际大学生创新大赛上海赛区</w:t>
      </w:r>
      <w:r>
        <w:rPr>
          <w:rFonts w:hint="eastAsia"/>
          <w:sz w:val="28"/>
          <w:szCs w:val="36"/>
          <w:highlight w:val="none"/>
          <w:lang w:eastAsia="zh-CN"/>
        </w:rPr>
        <w:t>金奖</w:t>
      </w:r>
      <w:r>
        <w:rPr>
          <w:rFonts w:hint="eastAsia"/>
          <w:sz w:val="28"/>
          <w:szCs w:val="36"/>
          <w:highlight w:val="none"/>
          <w:lang w:eastAsia="zh-CN"/>
        </w:rPr>
        <w:t>，获</w:t>
      </w:r>
      <w:r>
        <w:rPr>
          <w:rFonts w:hint="eastAsia"/>
          <w:sz w:val="28"/>
          <w:szCs w:val="36"/>
          <w:highlight w:val="none"/>
          <w:lang w:eastAsia="zh-CN"/>
        </w:rPr>
        <w:t>“优秀指导教师”</w:t>
      </w:r>
      <w:r>
        <w:rPr>
          <w:rFonts w:hint="eastAsia"/>
          <w:sz w:val="28"/>
          <w:szCs w:val="36"/>
          <w:highlight w:val="none"/>
          <w:lang w:eastAsia="zh-CN"/>
        </w:rPr>
        <w:t>奖</w:t>
      </w:r>
    </w:p>
    <w:p w14:paraId="13433A58">
      <w:pPr>
        <w:rPr>
          <w:rFonts w:hint="eastAsia"/>
          <w:sz w:val="28"/>
          <w:szCs w:val="36"/>
          <w:highlight w:val="none"/>
          <w:lang w:eastAsia="zh-CN"/>
        </w:rPr>
      </w:pPr>
      <w:r>
        <w:rPr>
          <w:rFonts w:hint="eastAsia"/>
          <w:sz w:val="28"/>
          <w:szCs w:val="36"/>
          <w:highlight w:val="none"/>
          <w:lang w:eastAsia="zh-CN"/>
        </w:rPr>
        <w:t>2024.12 指导学生获</w:t>
      </w:r>
      <w:r>
        <w:rPr>
          <w:rFonts w:hint="eastAsia"/>
          <w:sz w:val="28"/>
          <w:szCs w:val="36"/>
          <w:highlight w:val="none"/>
          <w:lang w:eastAsia="zh-CN"/>
        </w:rPr>
        <w:t>中国</w:t>
      </w:r>
      <w:r>
        <w:rPr>
          <w:rFonts w:hint="eastAsia"/>
          <w:sz w:val="28"/>
          <w:szCs w:val="36"/>
          <w:highlight w:val="none"/>
          <w:lang w:eastAsia="zh-CN"/>
        </w:rPr>
        <w:t>国际大学生创新大赛铜奖</w:t>
      </w:r>
    </w:p>
    <w:p w14:paraId="005B1442">
      <w:pPr>
        <w:rPr>
          <w:rFonts w:hint="eastAsia"/>
          <w:sz w:val="28"/>
          <w:szCs w:val="36"/>
          <w:highlight w:val="none"/>
          <w:lang w:eastAsia="zh-CN"/>
        </w:rPr>
      </w:pPr>
      <w:r>
        <w:rPr>
          <w:rFonts w:hint="eastAsia"/>
          <w:sz w:val="28"/>
          <w:szCs w:val="36"/>
          <w:highlight w:val="none"/>
          <w:lang w:eastAsia="zh-CN"/>
        </w:rPr>
        <w:t>2024.12 指导学生获上海市职业院校学生创新创意大赛银奖</w:t>
      </w:r>
    </w:p>
    <w:p w14:paraId="614C5E11">
      <w:pPr>
        <w:rPr>
          <w:rFonts w:hint="eastAsia"/>
          <w:sz w:val="28"/>
          <w:szCs w:val="36"/>
          <w:highlight w:val="none"/>
          <w:lang w:val="en-US" w:eastAsia="zh-CN"/>
        </w:rPr>
      </w:pPr>
      <w:r>
        <w:rPr>
          <w:rFonts w:hint="eastAsia"/>
          <w:sz w:val="28"/>
          <w:szCs w:val="36"/>
          <w:highlight w:val="none"/>
          <w:lang w:val="en-US" w:eastAsia="zh-CN"/>
        </w:rPr>
        <w:t>2025.11 指导学生获中国国际大学生创新大赛（2025）（上海赛区）铜奖2个</w:t>
      </w:r>
    </w:p>
    <w:p w14:paraId="0067A5CD">
      <w:pPr>
        <w:rPr>
          <w:rFonts w:hint="default"/>
          <w:sz w:val="28"/>
          <w:szCs w:val="36"/>
          <w:highlight w:val="none"/>
          <w:lang w:val="en-US" w:eastAsia="zh-CN"/>
        </w:rPr>
      </w:pPr>
      <w:r>
        <w:rPr>
          <w:rFonts w:hint="eastAsia"/>
          <w:sz w:val="28"/>
          <w:szCs w:val="36"/>
          <w:highlight w:val="none"/>
          <w:lang w:val="en-US" w:eastAsia="zh-CN"/>
        </w:rPr>
        <w:t>2026.06 指导学生获第十五届“挑战杯”上海市大学生创业计划竞赛特等奖</w:t>
      </w:r>
    </w:p>
    <w:p w14:paraId="26EBD24B">
      <w:pPr>
        <w:rPr>
          <w:rFonts w:hint="eastAsia"/>
          <w:sz w:val="28"/>
          <w:szCs w:val="36"/>
          <w:highlight w:val="none"/>
          <w:lang w:eastAsia="zh-CN"/>
        </w:rPr>
      </w:pPr>
    </w:p>
    <w:p w14:paraId="12F1C63D">
      <w:pPr>
        <w:rPr>
          <w:rFonts w:hint="eastAsia"/>
          <w:b/>
          <w:bCs/>
          <w:sz w:val="28"/>
          <w:szCs w:val="36"/>
          <w:highlight w:val="none"/>
          <w:lang w:eastAsia="zh-CN"/>
        </w:rPr>
      </w:pPr>
      <w:r>
        <w:rPr>
          <w:rFonts w:hint="eastAsia"/>
          <w:b/>
          <w:bCs/>
          <w:sz w:val="28"/>
          <w:szCs w:val="36"/>
          <w:highlight w:val="none"/>
          <w:lang w:eastAsia="zh-CN"/>
        </w:rPr>
        <w:t>其他类获奖：</w:t>
      </w:r>
    </w:p>
    <w:p w14:paraId="28D21BCA">
      <w:pPr>
        <w:rPr>
          <w:rFonts w:hint="eastAsia"/>
          <w:sz w:val="28"/>
          <w:szCs w:val="36"/>
          <w:highlight w:val="none"/>
          <w:lang w:eastAsia="zh-CN"/>
        </w:rPr>
      </w:pPr>
      <w:r>
        <w:rPr>
          <w:rFonts w:hint="eastAsia"/>
          <w:sz w:val="28"/>
          <w:szCs w:val="36"/>
          <w:highlight w:val="none"/>
          <w:lang w:eastAsia="zh-CN"/>
        </w:rPr>
        <w:t xml:space="preserve">2022.06 </w:t>
      </w:r>
      <w:r>
        <w:rPr>
          <w:rFonts w:hint="eastAsia"/>
          <w:sz w:val="28"/>
          <w:szCs w:val="36"/>
          <w:highlight w:val="none"/>
          <w:lang w:val="en-US" w:eastAsia="zh-CN"/>
        </w:rPr>
        <w:t xml:space="preserve"> </w:t>
      </w:r>
      <w:r>
        <w:rPr>
          <w:rFonts w:hint="eastAsia"/>
          <w:sz w:val="28"/>
          <w:szCs w:val="36"/>
          <w:highlight w:val="none"/>
          <w:lang w:eastAsia="zh-CN"/>
        </w:rPr>
        <w:t>指导学生第五届上海国际发明创新展览会金奖</w:t>
      </w:r>
    </w:p>
    <w:p w14:paraId="50299CD4">
      <w:pPr>
        <w:rPr>
          <w:rFonts w:hint="eastAsia"/>
          <w:sz w:val="28"/>
          <w:szCs w:val="36"/>
          <w:highlight w:val="none"/>
          <w:lang w:eastAsia="zh-CN"/>
        </w:rPr>
      </w:pPr>
      <w:r>
        <w:rPr>
          <w:rFonts w:hint="eastAsia"/>
          <w:sz w:val="28"/>
          <w:szCs w:val="36"/>
          <w:highlight w:val="none"/>
          <w:lang w:eastAsia="zh-CN"/>
        </w:rPr>
        <w:t xml:space="preserve">2023.11 </w:t>
      </w:r>
      <w:r>
        <w:rPr>
          <w:rFonts w:hint="eastAsia"/>
          <w:sz w:val="28"/>
          <w:szCs w:val="36"/>
          <w:highlight w:val="none"/>
          <w:lang w:val="en-US" w:eastAsia="zh-CN"/>
        </w:rPr>
        <w:t xml:space="preserve"> </w:t>
      </w:r>
      <w:r>
        <w:rPr>
          <w:rFonts w:hint="eastAsia"/>
          <w:sz w:val="28"/>
          <w:szCs w:val="36"/>
          <w:highlight w:val="none"/>
          <w:lang w:eastAsia="zh-CN"/>
        </w:rPr>
        <w:t>2023年上海市学生职业体验日活动优秀课程开发设计奖</w:t>
      </w:r>
    </w:p>
    <w:p w14:paraId="7C630A29">
      <w:pPr>
        <w:rPr>
          <w:rFonts w:hint="eastAsia"/>
          <w:sz w:val="28"/>
          <w:szCs w:val="36"/>
          <w:highlight w:val="none"/>
          <w:lang w:eastAsia="zh-CN"/>
        </w:rPr>
      </w:pPr>
      <w:r>
        <w:rPr>
          <w:rFonts w:hint="eastAsia"/>
          <w:sz w:val="28"/>
          <w:szCs w:val="36"/>
          <w:highlight w:val="none"/>
          <w:lang w:eastAsia="zh-CN"/>
        </w:rPr>
        <w:t xml:space="preserve">2024.06 </w:t>
      </w:r>
      <w:r>
        <w:rPr>
          <w:rFonts w:hint="eastAsia"/>
          <w:sz w:val="28"/>
          <w:szCs w:val="36"/>
          <w:highlight w:val="none"/>
          <w:lang w:val="en-US" w:eastAsia="zh-CN"/>
        </w:rPr>
        <w:t xml:space="preserve"> </w:t>
      </w:r>
      <w:r>
        <w:rPr>
          <w:rFonts w:hint="eastAsia"/>
          <w:sz w:val="28"/>
          <w:szCs w:val="36"/>
          <w:highlight w:val="none"/>
          <w:lang w:eastAsia="zh-CN"/>
        </w:rPr>
        <w:t>第七届中国（上海）国际发明创新展览会金奖</w:t>
      </w:r>
    </w:p>
    <w:p w14:paraId="66D24925">
      <w:pPr>
        <w:rPr>
          <w:rFonts w:hint="eastAsia"/>
          <w:sz w:val="28"/>
          <w:szCs w:val="36"/>
          <w:highlight w:val="none"/>
          <w:lang w:val="en-US" w:eastAsia="zh-CN"/>
        </w:rPr>
      </w:pPr>
      <w:r>
        <w:rPr>
          <w:rFonts w:hint="eastAsia"/>
          <w:sz w:val="28"/>
          <w:szCs w:val="36"/>
          <w:highlight w:val="none"/>
          <w:lang w:val="en-US" w:eastAsia="zh-CN"/>
        </w:rPr>
        <w:t>2025.03  莫斯科发明展金银奖</w:t>
      </w:r>
    </w:p>
    <w:p w14:paraId="3F0F8280">
      <w:pPr>
        <w:rPr>
          <w:rFonts w:hint="default"/>
          <w:sz w:val="28"/>
          <w:szCs w:val="36"/>
          <w:highlight w:val="none"/>
          <w:lang w:val="en-US" w:eastAsia="zh-CN"/>
        </w:rPr>
      </w:pPr>
      <w:r>
        <w:rPr>
          <w:rFonts w:hint="eastAsia"/>
          <w:sz w:val="28"/>
          <w:szCs w:val="36"/>
          <w:highlight w:val="none"/>
          <w:lang w:val="en-US" w:eastAsia="zh-CN"/>
        </w:rPr>
        <w:t>2025.10  伦敦发明展银奖</w:t>
      </w:r>
    </w:p>
    <w:p w14:paraId="4C891AA3">
      <w:pPr>
        <w:rPr>
          <w:rFonts w:hint="eastAsia"/>
          <w:sz w:val="28"/>
          <w:szCs w:val="36"/>
          <w:highlight w:val="none"/>
          <w:lang w:eastAsia="zh-CN"/>
        </w:rPr>
      </w:pPr>
    </w:p>
    <w:p w14:paraId="6106B890">
      <w:pPr>
        <w:rPr>
          <w:rFonts w:hint="eastAsia"/>
          <w:sz w:val="28"/>
          <w:szCs w:val="36"/>
          <w:highlight w:val="none"/>
          <w:lang w:eastAsia="zh-CN"/>
        </w:rPr>
      </w:pPr>
      <w:r>
        <w:rPr>
          <w:rFonts w:hint="eastAsia"/>
          <w:b/>
          <w:bCs/>
          <w:sz w:val="28"/>
          <w:szCs w:val="36"/>
          <w:highlight w:val="none"/>
          <w:lang w:eastAsia="zh-CN"/>
        </w:rPr>
        <w:t>近五年参与技能竞赛专家活动情况（省赛／行业赛／国赛）</w:t>
      </w:r>
    </w:p>
    <w:p w14:paraId="337F6028">
      <w:pPr>
        <w:rPr>
          <w:rFonts w:hint="eastAsia"/>
          <w:sz w:val="28"/>
          <w:szCs w:val="36"/>
          <w:highlight w:val="none"/>
          <w:lang w:eastAsia="zh-CN"/>
        </w:rPr>
      </w:pPr>
      <w:r>
        <w:rPr>
          <w:rFonts w:hint="eastAsia"/>
          <w:sz w:val="28"/>
          <w:szCs w:val="36"/>
          <w:highlight w:val="none"/>
          <w:lang w:eastAsia="zh-CN"/>
        </w:rPr>
        <w:t>1.2019年 省赛 中国技能大赛-第46届世界技能大赛上海市选拔赛健康与社会照护＂赛项 裁判</w:t>
      </w:r>
    </w:p>
    <w:p w14:paraId="3C54E0FD">
      <w:pPr>
        <w:rPr>
          <w:rFonts w:hint="eastAsia"/>
          <w:sz w:val="28"/>
          <w:szCs w:val="36"/>
          <w:highlight w:val="none"/>
          <w:lang w:eastAsia="zh-CN"/>
        </w:rPr>
      </w:pPr>
      <w:r>
        <w:rPr>
          <w:rFonts w:hint="eastAsia"/>
          <w:sz w:val="28"/>
          <w:szCs w:val="36"/>
          <w:highlight w:val="none"/>
          <w:lang w:eastAsia="zh-CN"/>
        </w:rPr>
        <w:t>2.2020年 省赛</w:t>
      </w:r>
      <w:r>
        <w:rPr>
          <w:rFonts w:hint="eastAsia"/>
          <w:sz w:val="28"/>
          <w:szCs w:val="36"/>
          <w:highlight w:val="none"/>
          <w:lang w:eastAsia="zh-CN"/>
        </w:rPr>
        <w:tab/>
      </w:r>
      <w:r>
        <w:rPr>
          <w:rFonts w:hint="eastAsia"/>
          <w:sz w:val="28"/>
          <w:szCs w:val="36"/>
          <w:highlight w:val="none"/>
          <w:lang w:eastAsia="zh-CN"/>
        </w:rPr>
        <w:t>长三角养老服务类专业学生技能大赛“健康与社会照护”赛项裁判</w:t>
      </w:r>
    </w:p>
    <w:p w14:paraId="15ADE29F">
      <w:pPr>
        <w:rPr>
          <w:rFonts w:hint="eastAsia"/>
          <w:sz w:val="28"/>
          <w:szCs w:val="36"/>
          <w:highlight w:val="none"/>
          <w:lang w:eastAsia="zh-CN"/>
        </w:rPr>
      </w:pPr>
      <w:r>
        <w:rPr>
          <w:rFonts w:hint="eastAsia"/>
          <w:sz w:val="28"/>
          <w:szCs w:val="36"/>
          <w:highlight w:val="none"/>
          <w:lang w:eastAsia="zh-CN"/>
        </w:rPr>
        <w:t>3.2023年 省赛</w:t>
      </w:r>
      <w:r>
        <w:rPr>
          <w:rFonts w:hint="eastAsia"/>
          <w:sz w:val="28"/>
          <w:szCs w:val="36"/>
          <w:highlight w:val="none"/>
          <w:lang w:eastAsia="zh-CN"/>
        </w:rPr>
        <w:tab/>
      </w:r>
      <w:r>
        <w:rPr>
          <w:rFonts w:hint="eastAsia"/>
          <w:sz w:val="28"/>
          <w:szCs w:val="36"/>
          <w:highlight w:val="none"/>
          <w:lang w:eastAsia="zh-CN"/>
        </w:rPr>
        <w:t>上海市第十届星光杯职业院校技能大赛（高职组）“健康与社会照护＂赛项 裁判</w:t>
      </w:r>
    </w:p>
    <w:p w14:paraId="10A0D078">
      <w:pPr>
        <w:rPr>
          <w:rFonts w:hint="eastAsia"/>
          <w:sz w:val="28"/>
          <w:szCs w:val="36"/>
          <w:highlight w:val="none"/>
          <w:lang w:eastAsia="zh-CN"/>
        </w:rPr>
      </w:pPr>
      <w:r>
        <w:rPr>
          <w:rFonts w:hint="eastAsia"/>
          <w:sz w:val="28"/>
          <w:szCs w:val="36"/>
          <w:highlight w:val="none"/>
          <w:lang w:eastAsia="zh-CN"/>
        </w:rPr>
        <w:t>4.2023年 省赛</w:t>
      </w:r>
      <w:r>
        <w:rPr>
          <w:rFonts w:hint="eastAsia"/>
          <w:sz w:val="28"/>
          <w:szCs w:val="36"/>
          <w:highlight w:val="none"/>
          <w:lang w:eastAsia="zh-CN"/>
        </w:rPr>
        <w:tab/>
      </w:r>
      <w:r>
        <w:rPr>
          <w:rFonts w:hint="eastAsia"/>
          <w:sz w:val="28"/>
          <w:szCs w:val="36"/>
          <w:highlight w:val="none"/>
          <w:lang w:eastAsia="zh-CN"/>
        </w:rPr>
        <w:t>上海市第十届星光杯职业院校技能大赛（高职组）“护理技能”赛项 裁判</w:t>
      </w:r>
    </w:p>
    <w:p w14:paraId="387DA1C2">
      <w:pPr>
        <w:rPr>
          <w:rFonts w:hint="eastAsia"/>
          <w:sz w:val="28"/>
          <w:szCs w:val="36"/>
          <w:highlight w:val="none"/>
          <w:lang w:eastAsia="zh-CN"/>
        </w:rPr>
      </w:pPr>
      <w:r>
        <w:rPr>
          <w:rFonts w:hint="eastAsia"/>
          <w:sz w:val="28"/>
          <w:szCs w:val="36"/>
          <w:highlight w:val="none"/>
          <w:lang w:eastAsia="zh-CN"/>
        </w:rPr>
        <w:t>5.2023年 省赛 上海市第十届星光杯职业院校技能大赛（中职组）“健康与社会照护”赛项 裁判</w:t>
      </w:r>
    </w:p>
    <w:p w14:paraId="464B76C3">
      <w:pPr>
        <w:rPr>
          <w:rFonts w:hint="eastAsia"/>
          <w:sz w:val="28"/>
          <w:szCs w:val="36"/>
          <w:highlight w:val="none"/>
          <w:lang w:eastAsia="zh-CN"/>
        </w:rPr>
      </w:pPr>
      <w:r>
        <w:rPr>
          <w:rFonts w:hint="eastAsia"/>
          <w:sz w:val="28"/>
          <w:szCs w:val="36"/>
          <w:highlight w:val="none"/>
          <w:lang w:eastAsia="zh-CN"/>
        </w:rPr>
        <w:t>6.2023年 国赛 全国职业院校技能大赛养老照护（中职组）裁判</w:t>
      </w:r>
    </w:p>
    <w:p w14:paraId="6305E418">
      <w:pPr>
        <w:rPr>
          <w:rFonts w:hint="eastAsia"/>
          <w:sz w:val="28"/>
          <w:szCs w:val="36"/>
          <w:highlight w:val="none"/>
          <w:lang w:eastAsia="zh-CN"/>
        </w:rPr>
      </w:pPr>
      <w:r>
        <w:rPr>
          <w:rFonts w:hint="eastAsia"/>
          <w:sz w:val="28"/>
          <w:szCs w:val="36"/>
          <w:highlight w:val="none"/>
          <w:lang w:eastAsia="zh-CN"/>
        </w:rPr>
        <w:t>7.2023年 省赛 上海市第一届职业技能大赛健康照护（国赛）项目裁判</w:t>
      </w:r>
    </w:p>
    <w:p w14:paraId="4672797D">
      <w:pPr>
        <w:rPr>
          <w:rFonts w:hint="eastAsia"/>
          <w:sz w:val="28"/>
          <w:szCs w:val="36"/>
          <w:highlight w:val="none"/>
          <w:lang w:eastAsia="zh-CN"/>
        </w:rPr>
      </w:pPr>
      <w:r>
        <w:rPr>
          <w:rFonts w:hint="eastAsia"/>
          <w:sz w:val="28"/>
          <w:szCs w:val="36"/>
          <w:highlight w:val="none"/>
          <w:lang w:eastAsia="zh-CN"/>
        </w:rPr>
        <w:t>8.2023年 省赛 第四届上海市级医疗机构护工护理员职业技能竞赛 裁判</w:t>
      </w:r>
    </w:p>
    <w:p w14:paraId="27FD6334">
      <w:pPr>
        <w:rPr>
          <w:rFonts w:hint="eastAsia"/>
          <w:sz w:val="28"/>
          <w:szCs w:val="36"/>
          <w:highlight w:val="none"/>
          <w:lang w:eastAsia="zh-CN"/>
        </w:rPr>
      </w:pPr>
      <w:r>
        <w:rPr>
          <w:rFonts w:hint="eastAsia"/>
          <w:sz w:val="28"/>
          <w:szCs w:val="36"/>
          <w:highlight w:val="none"/>
          <w:lang w:eastAsia="zh-CN"/>
        </w:rPr>
        <w:t>9.202</w:t>
      </w:r>
      <w:r>
        <w:rPr>
          <w:rFonts w:hint="eastAsia"/>
          <w:sz w:val="28"/>
          <w:szCs w:val="36"/>
          <w:highlight w:val="none"/>
          <w:lang w:val="en-US" w:eastAsia="zh-CN"/>
        </w:rPr>
        <w:t>4</w:t>
      </w:r>
      <w:r>
        <w:rPr>
          <w:rFonts w:hint="eastAsia"/>
          <w:sz w:val="28"/>
          <w:szCs w:val="36"/>
          <w:highlight w:val="none"/>
          <w:lang w:eastAsia="zh-CN"/>
        </w:rPr>
        <w:t>年 国赛 医疗护理员职业技能大赛 裁判</w:t>
      </w:r>
    </w:p>
    <w:p w14:paraId="32FBC909">
      <w:pPr>
        <w:rPr>
          <w:rFonts w:hint="eastAsia"/>
          <w:sz w:val="28"/>
          <w:szCs w:val="36"/>
          <w:highlight w:val="none"/>
          <w:lang w:eastAsia="zh-CN"/>
        </w:rPr>
      </w:pPr>
      <w:r>
        <w:rPr>
          <w:rFonts w:hint="eastAsia"/>
          <w:sz w:val="28"/>
          <w:szCs w:val="36"/>
          <w:highlight w:val="none"/>
          <w:lang w:eastAsia="zh-CN"/>
        </w:rPr>
        <w:t>10.2024年 省赛 全国营养师技能大赛上海赛区 裁判</w:t>
      </w:r>
    </w:p>
    <w:p w14:paraId="604775AA">
      <w:pPr>
        <w:rPr>
          <w:rFonts w:hint="eastAsia"/>
          <w:sz w:val="28"/>
          <w:szCs w:val="36"/>
          <w:highlight w:val="none"/>
          <w:lang w:eastAsia="zh-CN"/>
        </w:rPr>
      </w:pPr>
      <w:r>
        <w:rPr>
          <w:rFonts w:hint="eastAsia"/>
          <w:sz w:val="28"/>
          <w:szCs w:val="36"/>
          <w:highlight w:val="none"/>
          <w:lang w:eastAsia="zh-CN"/>
        </w:rPr>
        <w:t>11.2024年 国赛 世界职业院校技能大赛护理技能（中职组）裁判</w:t>
      </w:r>
    </w:p>
    <w:p w14:paraId="12721AFA">
      <w:pPr>
        <w:rPr>
          <w:rFonts w:hint="default"/>
          <w:sz w:val="28"/>
          <w:szCs w:val="36"/>
          <w:highlight w:val="none"/>
          <w:lang w:val="en-US" w:eastAsia="zh-CN"/>
        </w:rPr>
      </w:pPr>
      <w:r>
        <w:rPr>
          <w:rFonts w:hint="eastAsia"/>
          <w:sz w:val="28"/>
          <w:szCs w:val="36"/>
          <w:highlight w:val="none"/>
          <w:lang w:val="en-US" w:eastAsia="zh-CN"/>
        </w:rPr>
        <w:t>12.2025年 省赛 上海市第二届职业技能大赛国赛精选赛养老护理赛项裁判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131367"/>
    <w:multiLevelType w:val="singleLevel"/>
    <w:tmpl w:val="93131367"/>
    <w:lvl w:ilvl="0" w:tentative="0">
      <w:start w:val="1"/>
      <w:numFmt w:val="decimal"/>
      <w:suff w:val="space"/>
      <w:lvlText w:val="%1."/>
      <w:lvlJc w:val="left"/>
    </w:lvl>
  </w:abstractNum>
  <w:abstractNum w:abstractNumId="1">
    <w:nsid w:val="BB7660D2"/>
    <w:multiLevelType w:val="singleLevel"/>
    <w:tmpl w:val="BB7660D2"/>
    <w:lvl w:ilvl="0" w:tentative="0">
      <w:start w:val="2"/>
      <w:numFmt w:val="decimal"/>
      <w:suff w:val="space"/>
      <w:lvlText w:val="%1."/>
      <w:lvlJc w:val="left"/>
    </w:lvl>
  </w:abstractNum>
  <w:abstractNum w:abstractNumId="2">
    <w:nsid w:val="5DFCFB65"/>
    <w:multiLevelType w:val="singleLevel"/>
    <w:tmpl w:val="5DFCFB65"/>
    <w:lvl w:ilvl="0" w:tentative="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782C2E"/>
    <w:rsid w:val="017E6BC4"/>
    <w:rsid w:val="080B19B9"/>
    <w:rsid w:val="0A8532CF"/>
    <w:rsid w:val="0E7244A9"/>
    <w:rsid w:val="104358ED"/>
    <w:rsid w:val="189776AC"/>
    <w:rsid w:val="1899477A"/>
    <w:rsid w:val="1BCE2E51"/>
    <w:rsid w:val="1CE964AB"/>
    <w:rsid w:val="1D8E7534"/>
    <w:rsid w:val="20AE38E5"/>
    <w:rsid w:val="21D37673"/>
    <w:rsid w:val="232C0440"/>
    <w:rsid w:val="2450611D"/>
    <w:rsid w:val="29DC0DAE"/>
    <w:rsid w:val="2B2B6C77"/>
    <w:rsid w:val="2D1250AA"/>
    <w:rsid w:val="2EFF4A4A"/>
    <w:rsid w:val="2FFE4C0B"/>
    <w:rsid w:val="31D60A32"/>
    <w:rsid w:val="33045543"/>
    <w:rsid w:val="352E6A73"/>
    <w:rsid w:val="359F17E8"/>
    <w:rsid w:val="35D176BF"/>
    <w:rsid w:val="37782C2E"/>
    <w:rsid w:val="381A1299"/>
    <w:rsid w:val="39C024A7"/>
    <w:rsid w:val="3BF05376"/>
    <w:rsid w:val="3C5C512C"/>
    <w:rsid w:val="3DAE79B3"/>
    <w:rsid w:val="3F2C73C1"/>
    <w:rsid w:val="40D64919"/>
    <w:rsid w:val="440242C7"/>
    <w:rsid w:val="457D3DAD"/>
    <w:rsid w:val="46AA1F7B"/>
    <w:rsid w:val="48D91414"/>
    <w:rsid w:val="4A482CBE"/>
    <w:rsid w:val="4AC75B3B"/>
    <w:rsid w:val="4C477957"/>
    <w:rsid w:val="4CDA0B13"/>
    <w:rsid w:val="4E0B77C2"/>
    <w:rsid w:val="507953E4"/>
    <w:rsid w:val="53614514"/>
    <w:rsid w:val="57907E1B"/>
    <w:rsid w:val="598C3104"/>
    <w:rsid w:val="5A0F312D"/>
    <w:rsid w:val="5CAE7BBD"/>
    <w:rsid w:val="5DE8556D"/>
    <w:rsid w:val="5E453881"/>
    <w:rsid w:val="60766E42"/>
    <w:rsid w:val="61554C40"/>
    <w:rsid w:val="6171589C"/>
    <w:rsid w:val="62BE0BEE"/>
    <w:rsid w:val="63F277BF"/>
    <w:rsid w:val="65B01E30"/>
    <w:rsid w:val="67035FAA"/>
    <w:rsid w:val="67875309"/>
    <w:rsid w:val="68F4247B"/>
    <w:rsid w:val="6A2211AA"/>
    <w:rsid w:val="6B9D57E7"/>
    <w:rsid w:val="74C33FB9"/>
    <w:rsid w:val="757256D0"/>
    <w:rsid w:val="75D94F08"/>
    <w:rsid w:val="75F44E35"/>
    <w:rsid w:val="766C04D6"/>
    <w:rsid w:val="79920BCA"/>
    <w:rsid w:val="7D0678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
  <Pages>12</Pages>
  <Words>5982</Words>
  <Characters>8016</Characters>
  <Lines>0</Lines>
  <Paragraphs>0</Paragraphs>
  <TotalTime>4</TotalTime>
  <ScaleCrop>false</ScaleCrop>
  <LinksUpToDate>false</LinksUpToDate>
  <CharactersWithSpaces>8283</CharactersWithSpaces>
  <Application>WPS Office_12.1.0.28043_F1E327BC-269C-435d-A152-05C5408002CA</Application>
  <DocSecurity>0</DocSecurity>
</Properties>
</file>

<file path=docProps/core.xml><?xml version="1.0" encoding="utf-8"?>
<cp:coreProperties xmlns:cp="http://schemas.openxmlformats.org/package/2006/metadata/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DF3476CDB48D4D8D973EFC7B617ABF22_11</vt:lpwstr>
  </property>
  <property fmtid="{D5CDD505-2E9C-101B-9397-08002B2CF9AE}" pid="4" name="KSOTemplateDocerSaveRecord">
    <vt:lpwstr>eyJoZGlkIjoiY2NiOGY0Y2Y5MTFiMDBiYzc4YjYxZDJjY2JiYjdlZWQiLCJ1c2VySWQiOiI0MTIxMDA2ODkifQ==</vt:lpwstr>
  </property>
</Properties>
</file>