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57F81" w14:textId="77777777">
      <w:pPr>
        <w:jc w:val="center"/>
        <w:rPr>
          <w:rFonts w:ascii="仿宋" w:eastAsia="仿宋" w:hAnsi="仿宋" w:cs="仿宋"/>
          <w:b/>
          <w:color w:val="C00000"/>
          <w:sz w:val="28"/>
          <w:szCs w:val="28"/>
        </w:rPr>
      </w:pPr>
      <w:r>
        <w:rPr>
          <w:rFonts w:ascii="仿宋" w:eastAsia="仿宋" w:hAnsi="仿宋" w:cs="仿宋" w:hint="eastAsia"/>
          <w:b/>
          <w:sz w:val="28"/>
          <w:szCs w:val="28"/>
        </w:rPr>
        <w:t>三、</w:t>
      </w:r>
      <w:r>
        <w:rPr>
          <w:rFonts w:ascii="仿宋" w:eastAsia="仿宋" w:hAnsi="仿宋" w:cs="仿宋" w:hint="eastAsia"/>
          <w:b/>
          <w:sz w:val="28"/>
          <w:szCs w:val="28"/>
        </w:rPr>
        <w:t>专家指导</w:t>
      </w:r>
      <w:r>
        <w:rPr>
          <w:rFonts w:ascii="仿宋" w:eastAsia="仿宋" w:hAnsi="仿宋" w:cs="仿宋" w:hint="eastAsia"/>
          <w:b/>
          <w:sz w:val="28"/>
          <w:szCs w:val="28"/>
        </w:rPr>
        <w:t>情况记录（可添加记录）</w:t>
      </w:r>
    </w:p>
    <w:tbl>
      <w:tblPr>
        <w:tblStyle w:val="a3"/>
        <w:tblW w:w="0" w:type="auto"/>
        <w:tblLook w:val="04A0" w:firstRow="1" w:lastRow="0" w:firstColumn="1" w:lastColumn="0" w:noHBand="0" w:noVBand="1"/>
      </w:tblPr>
      <w:tblGrid>
        <w:gridCol w:w="2130"/>
        <w:gridCol w:w="2130"/>
        <w:gridCol w:w="2131"/>
        <w:gridCol w:w="2131"/>
      </w:tblGrid>
      <w:tr w14:paraId="2B0D9668" w14:textId="77777777">
        <w:tc>
          <w:tcPr>
            <w:tcW w:w="2130" w:type="dxa"/>
          </w:tcPr>
          <w:p w14:paraId="3664E762" w14:textId="77777777">
            <w:pPr>
              <w:spacing w:line="440" w:lineRule="exact"/>
              <w:jc w:val="center"/>
              <w:rPr>
                <w:rFonts w:ascii="仿宋" w:eastAsia="仿宋" w:hAnsi="仿宋" w:cs="仿宋"/>
                <w:sz w:val="22"/>
              </w:rPr>
            </w:pPr>
            <w:r>
              <w:rPr>
                <w:rFonts w:ascii="仿宋" w:eastAsia="仿宋" w:hAnsi="仿宋" w:cs="仿宋" w:hint="eastAsia"/>
                <w:sz w:val="22"/>
              </w:rPr>
              <w:t>时间</w:t>
            </w:r>
          </w:p>
        </w:tc>
        <w:tc>
          <w:tcPr>
            <w:tcW w:w="2130" w:type="dxa"/>
          </w:tcPr>
          <w:p w14:paraId="49A5AE47" w14:textId="77777777">
            <w:pPr>
              <w:spacing w:line="440" w:lineRule="exact"/>
              <w:jc w:val="center"/>
              <w:rPr>
                <w:rFonts w:ascii="仿宋" w:eastAsia="宋体" w:hAnsi="仿宋" w:cs="仿宋"/>
                <w:sz w:val="22"/>
              </w:rPr>
            </w:pPr>
            <w:r>
              <w:rPr>
                <w:rFonts w:ascii="宋体" w:eastAsia="宋体" w:hAnsi="宋体"/>
              </w:rPr>
              <w:t>2026</w:t>
            </w:r>
            <w:r>
              <w:rPr>
                <w:rFonts w:ascii="宋体" w:eastAsia="宋体" w:hAnsi="宋体"/>
              </w:rPr>
              <w:t>年</w:t>
            </w:r>
            <w:r>
              <w:rPr>
                <w:rFonts w:ascii="宋体" w:eastAsia="宋体" w:hAnsi="宋体"/>
              </w:rPr>
              <w:t>7</w:t>
            </w:r>
            <w:r>
              <w:rPr>
                <w:rFonts w:ascii="宋体" w:eastAsia="宋体" w:hAnsi="宋体"/>
              </w:rPr>
              <w:t>月</w:t>
            </w:r>
            <w:r>
              <w:rPr>
                <w:rFonts w:ascii="宋体" w:eastAsia="宋体" w:hAnsi="宋体" w:hint="eastAsia"/>
              </w:rPr>
              <w:t>20</w:t>
            </w:r>
            <w:r>
              <w:rPr>
                <w:rFonts w:ascii="宋体" w:eastAsia="宋体" w:hAnsi="宋体"/>
              </w:rPr>
              <w:t>日</w:t>
            </w:r>
            <w:r>
              <w:rPr>
                <w:rFonts w:ascii="宋体" w:eastAsia="宋体" w:hAnsi="宋体" w:hint="eastAsia"/>
              </w:rPr>
              <w:t>-7</w:t>
            </w:r>
            <w:r>
              <w:rPr>
                <w:rFonts w:ascii="宋体" w:eastAsia="宋体" w:hAnsi="宋体" w:hint="eastAsia"/>
              </w:rPr>
              <w:t>月</w:t>
            </w:r>
            <w:r>
              <w:rPr>
                <w:rFonts w:ascii="宋体" w:eastAsia="宋体" w:hAnsi="宋体" w:hint="eastAsia"/>
              </w:rPr>
              <w:t>31</w:t>
            </w:r>
            <w:r>
              <w:rPr>
                <w:rFonts w:ascii="宋体" w:eastAsia="宋体" w:hAnsi="宋体" w:hint="eastAsia"/>
              </w:rPr>
              <w:t>日</w:t>
            </w:r>
          </w:p>
        </w:tc>
        <w:tc>
          <w:tcPr>
            <w:tcW w:w="2131" w:type="dxa"/>
          </w:tcPr>
          <w:p w14:paraId="798FD3D8" w14:textId="77777777">
            <w:pPr>
              <w:spacing w:line="440" w:lineRule="exact"/>
              <w:jc w:val="center"/>
              <w:rPr>
                <w:rFonts w:ascii="仿宋" w:eastAsia="仿宋" w:hAnsi="仿宋" w:cs="仿宋"/>
                <w:sz w:val="22"/>
              </w:rPr>
            </w:pPr>
            <w:r>
              <w:rPr>
                <w:rFonts w:ascii="仿宋" w:eastAsia="仿宋" w:hAnsi="仿宋" w:cs="仿宋" w:hint="eastAsia"/>
                <w:sz w:val="22"/>
              </w:rPr>
              <w:t>地点</w:t>
            </w:r>
          </w:p>
        </w:tc>
        <w:tc>
          <w:tcPr>
            <w:tcW w:w="2131" w:type="dxa"/>
          </w:tcPr>
          <w:p w14:paraId="09A9563C" w14:textId="77777777">
            <w:pPr>
              <w:spacing w:line="440" w:lineRule="exact"/>
              <w:jc w:val="center"/>
              <w:rPr>
                <w:rFonts w:ascii="仿宋" w:eastAsia="仿宋" w:hAnsi="仿宋" w:cs="仿宋"/>
                <w:sz w:val="22"/>
              </w:rPr>
            </w:pPr>
            <w:r>
              <w:rPr>
                <w:rFonts w:ascii="宋体" w:eastAsia="宋体" w:hAnsi="宋体" w:hint="eastAsia"/>
              </w:rPr>
              <w:t>线上指导</w:t>
            </w:r>
          </w:p>
        </w:tc>
      </w:tr>
      <w:tr w14:paraId="651BF59B" w14:textId="77777777">
        <w:tc>
          <w:tcPr>
            <w:tcW w:w="2130" w:type="dxa"/>
          </w:tcPr>
          <w:p w14:paraId="2042A6EC" w14:textId="77777777">
            <w:pPr>
              <w:spacing w:line="440" w:lineRule="exact"/>
              <w:jc w:val="center"/>
              <w:rPr>
                <w:rFonts w:ascii="仿宋" w:eastAsia="仿宋" w:hAnsi="仿宋" w:cs="仿宋"/>
                <w:sz w:val="22"/>
              </w:rPr>
            </w:pPr>
            <w:r>
              <w:rPr>
                <w:rFonts w:ascii="仿宋" w:eastAsia="仿宋" w:hAnsi="仿宋" w:cs="仿宋" w:hint="eastAsia"/>
                <w:sz w:val="22"/>
              </w:rPr>
              <w:t>活动主题</w:t>
            </w:r>
          </w:p>
        </w:tc>
        <w:tc>
          <w:tcPr>
            <w:tcW w:w="6392" w:type="dxa"/>
            <w:gridSpan w:val="3"/>
          </w:tcPr>
          <w:p w14:paraId="30D4339C" w14:textId="77777777">
            <w:pPr>
              <w:spacing w:line="440" w:lineRule="exact"/>
              <w:jc w:val="left"/>
              <w:rPr>
                <w:rFonts w:ascii="仿宋" w:eastAsia="仿宋" w:hAnsi="仿宋" w:cs="仿宋"/>
                <w:sz w:val="22"/>
              </w:rPr>
            </w:pPr>
            <w:r>
              <w:rPr>
                <w:rFonts w:ascii="宋体" w:eastAsia="宋体" w:hAnsi="宋体" w:hint="eastAsia"/>
              </w:rPr>
              <w:t>工作室参加“</w:t>
            </w:r>
            <w:r>
              <w:rPr>
                <w:rFonts w:ascii="宋体" w:eastAsia="宋体" w:hAnsi="宋体"/>
              </w:rPr>
              <w:t>中华护理学会</w:t>
            </w:r>
            <w:r>
              <w:rPr>
                <w:rFonts w:ascii="宋体" w:eastAsia="宋体" w:hAnsi="宋体"/>
              </w:rPr>
              <w:t>2026</w:t>
            </w:r>
            <w:r>
              <w:rPr>
                <w:rFonts w:ascii="宋体" w:eastAsia="宋体" w:hAnsi="宋体"/>
              </w:rPr>
              <w:t>年高等护理教育研讨会暨第</w:t>
            </w:r>
            <w:r>
              <w:rPr>
                <w:rFonts w:ascii="宋体" w:eastAsia="宋体" w:hAnsi="宋体"/>
              </w:rPr>
              <w:t>18</w:t>
            </w:r>
            <w:r>
              <w:rPr>
                <w:rFonts w:ascii="宋体" w:eastAsia="宋体" w:hAnsi="宋体"/>
              </w:rPr>
              <w:t>次护理学院（校）长学术交流会议</w:t>
            </w:r>
            <w:r>
              <w:rPr>
                <w:rFonts w:ascii="宋体" w:eastAsia="宋体" w:hAnsi="宋体" w:hint="eastAsia"/>
              </w:rPr>
              <w:t>”专家指导</w:t>
            </w:r>
          </w:p>
        </w:tc>
      </w:tr>
      <w:tr w14:paraId="6D79E401" w14:textId="77777777">
        <w:tc>
          <w:tcPr>
            <w:tcW w:w="2130" w:type="dxa"/>
            <w:vAlign w:val="center"/>
          </w:tcPr>
          <w:p w14:paraId="3A2AD994" w14:textId="77777777">
            <w:pPr>
              <w:spacing w:line="440" w:lineRule="exact"/>
              <w:jc w:val="center"/>
              <w:rPr>
                <w:rFonts w:ascii="仿宋" w:eastAsia="仿宋" w:hAnsi="仿宋" w:cs="仿宋"/>
                <w:sz w:val="22"/>
              </w:rPr>
            </w:pPr>
            <w:r>
              <w:rPr>
                <w:rFonts w:ascii="仿宋" w:eastAsia="仿宋" w:hAnsi="仿宋" w:cs="仿宋" w:hint="eastAsia"/>
                <w:sz w:val="22"/>
              </w:rPr>
              <w:t>活动主持</w:t>
            </w:r>
          </w:p>
        </w:tc>
        <w:tc>
          <w:tcPr>
            <w:tcW w:w="2130" w:type="dxa"/>
            <w:vAlign w:val="center"/>
          </w:tcPr>
          <w:p w14:paraId="1E81C6E8" w14:textId="77777777">
            <w:pPr>
              <w:spacing w:line="440" w:lineRule="exact"/>
              <w:jc w:val="center"/>
              <w:rPr>
                <w:rFonts w:ascii="仿宋" w:eastAsia="仿宋" w:hAnsi="仿宋" w:cs="仿宋"/>
                <w:sz w:val="22"/>
              </w:rPr>
            </w:pPr>
            <w:r>
              <w:rPr>
                <w:rFonts w:ascii="仿宋" w:eastAsia="仿宋" w:hAnsi="仿宋" w:cs="仿宋" w:hint="eastAsia"/>
                <w:sz w:val="22"/>
              </w:rPr>
              <w:t>袁媛</w:t>
            </w:r>
          </w:p>
        </w:tc>
        <w:tc>
          <w:tcPr>
            <w:tcW w:w="2131" w:type="dxa"/>
            <w:vAlign w:val="center"/>
          </w:tcPr>
          <w:p w14:paraId="2D163BCE" w14:textId="77777777">
            <w:pPr>
              <w:spacing w:line="440" w:lineRule="exact"/>
              <w:jc w:val="center"/>
              <w:rPr>
                <w:rFonts w:ascii="仿宋" w:eastAsia="仿宋" w:hAnsi="仿宋" w:cs="仿宋"/>
                <w:sz w:val="22"/>
              </w:rPr>
            </w:pPr>
            <w:r>
              <w:rPr>
                <w:rFonts w:ascii="仿宋" w:eastAsia="仿宋" w:hAnsi="仿宋" w:cs="仿宋" w:hint="eastAsia"/>
                <w:sz w:val="22"/>
              </w:rPr>
              <w:t>活动形式</w:t>
            </w:r>
          </w:p>
          <w:p w14:paraId="1FABD280" w14:textId="77777777">
            <w:pPr>
              <w:spacing w:line="440" w:lineRule="exact"/>
              <w:jc w:val="center"/>
              <w:rPr>
                <w:rFonts w:ascii="仿宋" w:eastAsia="仿宋" w:hAnsi="仿宋" w:cs="仿宋"/>
                <w:sz w:val="22"/>
              </w:rPr>
            </w:pPr>
            <w:r>
              <w:rPr>
                <w:rFonts w:ascii="仿宋" w:eastAsia="仿宋" w:hAnsi="仿宋" w:cs="仿宋" w:hint="eastAsia"/>
                <w:sz w:val="22"/>
              </w:rPr>
              <w:t>（下拉菜单）</w:t>
            </w:r>
          </w:p>
        </w:tc>
        <w:tc>
          <w:tcPr>
            <w:tcW w:w="2131" w:type="dxa"/>
            <w:vAlign w:val="center"/>
          </w:tcPr>
          <w:p w14:paraId="3B53503D" w14:textId="77777777">
            <w:pPr>
              <w:spacing w:line="440" w:lineRule="exact"/>
              <w:jc w:val="center"/>
              <w:rPr>
                <w:rFonts w:ascii="仿宋" w:eastAsia="仿宋" w:hAnsi="仿宋" w:cs="仿宋"/>
                <w:sz w:val="22"/>
              </w:rPr>
            </w:pPr>
            <w:r>
              <w:rPr>
                <w:rFonts w:ascii="仿宋" w:eastAsia="仿宋" w:hAnsi="仿宋" w:cs="仿宋" w:hint="eastAsia"/>
                <w:sz w:val="22"/>
              </w:rPr>
              <w:t>☑</w:t>
            </w:r>
            <w:r>
              <w:rPr>
                <w:rFonts w:ascii="仿宋" w:eastAsia="仿宋" w:hAnsi="仿宋" w:cs="仿宋" w:hint="eastAsia"/>
                <w:sz w:val="22"/>
              </w:rPr>
              <w:t>会议□讲座□会研讨□企业研修□个人研修□公开教育教学活动</w:t>
            </w:r>
          </w:p>
          <w:p w14:paraId="7ADF0286" w14:textId="77777777">
            <w:pPr>
              <w:spacing w:line="440" w:lineRule="exact"/>
              <w:jc w:val="center"/>
              <w:rPr>
                <w:rFonts w:ascii="仿宋" w:eastAsia="仿宋" w:hAnsi="仿宋" w:cs="仿宋"/>
                <w:sz w:val="22"/>
                <w:u w:val="single"/>
              </w:rPr>
            </w:pPr>
            <w:r>
              <w:rPr>
                <w:rFonts w:ascii="仿宋" w:eastAsia="仿宋" w:hAnsi="仿宋" w:cs="仿宋" w:hint="eastAsia"/>
                <w:sz w:val="22"/>
              </w:rPr>
              <w:t>□其他</w:t>
            </w:r>
          </w:p>
        </w:tc>
      </w:tr>
      <w:tr w14:paraId="6B121130" w14:textId="77777777">
        <w:trPr>
          <w:trHeight w:val="936"/>
        </w:trPr>
        <w:tc>
          <w:tcPr>
            <w:tcW w:w="2130" w:type="dxa"/>
            <w:vAlign w:val="center"/>
          </w:tcPr>
          <w:p w14:paraId="0FDE76ED" w14:textId="77777777">
            <w:pPr>
              <w:spacing w:line="440" w:lineRule="exact"/>
              <w:jc w:val="center"/>
              <w:rPr>
                <w:rFonts w:ascii="仿宋" w:eastAsia="仿宋" w:hAnsi="仿宋" w:cs="仿宋"/>
                <w:sz w:val="22"/>
              </w:rPr>
            </w:pPr>
            <w:r>
              <w:rPr>
                <w:rFonts w:ascii="仿宋" w:eastAsia="仿宋" w:hAnsi="仿宋" w:cs="仿宋" w:hint="eastAsia"/>
                <w:sz w:val="22"/>
              </w:rPr>
              <w:t>活动参与人员</w:t>
            </w:r>
          </w:p>
        </w:tc>
        <w:tc>
          <w:tcPr>
            <w:tcW w:w="6392" w:type="dxa"/>
            <w:gridSpan w:val="3"/>
            <w:vAlign w:val="center"/>
          </w:tcPr>
          <w:p w14:paraId="1199E52D" w14:textId="77777777">
            <w:pPr>
              <w:spacing w:line="440" w:lineRule="exact"/>
              <w:jc w:val="center"/>
              <w:rPr>
                <w:rFonts w:ascii="仿宋" w:eastAsia="仿宋" w:hAnsi="仿宋" w:cs="仿宋"/>
                <w:sz w:val="22"/>
              </w:rPr>
            </w:pPr>
            <w:r>
              <w:rPr>
                <w:rFonts w:ascii="仿宋" w:eastAsia="仿宋" w:hAnsi="仿宋" w:cs="仿宋" w:hint="eastAsia"/>
                <w:sz w:val="22"/>
              </w:rPr>
              <w:t>袁媛护理名师工作室核心教师团队</w:t>
            </w:r>
          </w:p>
        </w:tc>
      </w:tr>
      <w:tr w14:paraId="4233D391" w14:textId="77777777">
        <w:trPr>
          <w:trHeight w:val="4072"/>
        </w:trPr>
        <w:tc>
          <w:tcPr>
            <w:tcW w:w="2130" w:type="dxa"/>
            <w:vAlign w:val="center"/>
          </w:tcPr>
          <w:p w14:paraId="3D4278A4" w14:textId="77777777">
            <w:pPr>
              <w:spacing w:line="440" w:lineRule="exact"/>
              <w:jc w:val="center"/>
              <w:rPr>
                <w:rFonts w:ascii="仿宋" w:eastAsia="仿宋" w:hAnsi="仿宋" w:cs="仿宋"/>
                <w:sz w:val="22"/>
              </w:rPr>
            </w:pPr>
            <w:r>
              <w:rPr>
                <w:rFonts w:ascii="仿宋" w:eastAsia="仿宋" w:hAnsi="仿宋" w:cs="仿宋" w:hint="eastAsia"/>
                <w:sz w:val="22"/>
              </w:rPr>
              <w:t>指导</w:t>
            </w:r>
            <w:r>
              <w:rPr>
                <w:rFonts w:ascii="仿宋" w:eastAsia="仿宋" w:hAnsi="仿宋" w:cs="仿宋" w:hint="eastAsia"/>
                <w:sz w:val="22"/>
              </w:rPr>
              <w:t>主要内容</w:t>
            </w:r>
          </w:p>
        </w:tc>
        <w:tc>
          <w:tcPr>
            <w:tcW w:w="6392" w:type="dxa"/>
            <w:gridSpan w:val="3"/>
            <w:vAlign w:val="center"/>
          </w:tcPr>
          <w:p w14:paraId="475A5233" w14:textId="77777777">
            <w:pPr>
              <w:spacing w:line="440" w:lineRule="exact"/>
              <w:ind w:firstLineChars="200" w:firstLine="440"/>
              <w:jc w:val="left"/>
              <w:rPr>
                <w:rFonts w:ascii="仿宋" w:eastAsia="仿宋" w:hAnsi="仿宋" w:cs="仿宋"/>
                <w:sz w:val="22"/>
              </w:rPr>
            </w:pPr>
            <w:r>
              <w:rPr>
                <w:rFonts w:ascii="仿宋" w:eastAsia="仿宋" w:hAnsi="仿宋" w:cs="仿宋" w:hint="eastAsia"/>
                <w:sz w:val="22"/>
              </w:rPr>
              <w:t>一、中华护理学会</w:t>
            </w:r>
            <w:r>
              <w:rPr>
                <w:rFonts w:ascii="仿宋" w:eastAsia="仿宋" w:hAnsi="仿宋" w:cs="仿宋" w:hint="eastAsia"/>
                <w:sz w:val="22"/>
              </w:rPr>
              <w:t>参</w:t>
            </w:r>
            <w:r>
              <w:rPr>
                <w:rFonts w:ascii="仿宋" w:eastAsia="仿宋" w:hAnsi="仿宋" w:cs="仿宋" w:hint="eastAsia"/>
                <w:sz w:val="22"/>
              </w:rPr>
              <w:t>会前指导</w:t>
            </w:r>
          </w:p>
          <w:p w14:paraId="35B7DA74" w14:textId="77777777">
            <w:pPr>
              <w:spacing w:line="440" w:lineRule="exact"/>
              <w:ind w:firstLineChars="200" w:firstLine="440"/>
              <w:jc w:val="left"/>
              <w:rPr>
                <w:rFonts w:ascii="仿宋" w:eastAsia="仿宋" w:hAnsi="仿宋" w:cs="仿宋"/>
                <w:sz w:val="22"/>
              </w:rPr>
            </w:pPr>
            <w:r>
              <w:rPr>
                <w:rFonts w:ascii="仿宋" w:eastAsia="仿宋" w:hAnsi="仿宋" w:cs="仿宋" w:hint="eastAsia"/>
                <w:sz w:val="22"/>
              </w:rPr>
              <w:t>由中华护理学会主办的</w:t>
            </w:r>
            <w:r>
              <w:rPr>
                <w:rFonts w:ascii="仿宋" w:eastAsia="仿宋" w:hAnsi="仿宋" w:cs="仿宋" w:hint="eastAsia"/>
                <w:sz w:val="22"/>
              </w:rPr>
              <w:t>2026</w:t>
            </w:r>
            <w:r>
              <w:rPr>
                <w:rFonts w:ascii="仿宋" w:eastAsia="仿宋" w:hAnsi="仿宋" w:cs="仿宋" w:hint="eastAsia"/>
                <w:sz w:val="22"/>
              </w:rPr>
              <w:t>年高等护理教育研讨会暨第</w:t>
            </w:r>
            <w:r>
              <w:rPr>
                <w:rFonts w:ascii="仿宋" w:eastAsia="仿宋" w:hAnsi="仿宋" w:cs="仿宋" w:hint="eastAsia"/>
                <w:sz w:val="22"/>
              </w:rPr>
              <w:t>18</w:t>
            </w:r>
            <w:r>
              <w:rPr>
                <w:rFonts w:ascii="仿宋" w:eastAsia="仿宋" w:hAnsi="仿宋" w:cs="仿宋" w:hint="eastAsia"/>
                <w:sz w:val="22"/>
              </w:rPr>
              <w:t>次护理学院（校）长学术交流会议于</w:t>
            </w:r>
            <w:r>
              <w:rPr>
                <w:rFonts w:ascii="仿宋" w:eastAsia="仿宋" w:hAnsi="仿宋" w:cs="仿宋" w:hint="eastAsia"/>
                <w:sz w:val="22"/>
              </w:rPr>
              <w:t>7</w:t>
            </w:r>
            <w:r>
              <w:rPr>
                <w:rFonts w:ascii="仿宋" w:eastAsia="仿宋" w:hAnsi="仿宋" w:cs="仿宋" w:hint="eastAsia"/>
                <w:sz w:val="22"/>
              </w:rPr>
              <w:t>月</w:t>
            </w:r>
            <w:r>
              <w:rPr>
                <w:rFonts w:ascii="仿宋" w:eastAsia="仿宋" w:hAnsi="仿宋" w:cs="仿宋" w:hint="eastAsia"/>
                <w:sz w:val="22"/>
              </w:rPr>
              <w:t>28</w:t>
            </w:r>
            <w:r>
              <w:rPr>
                <w:rFonts w:ascii="仿宋" w:eastAsia="仿宋" w:hAnsi="仿宋" w:cs="仿宋" w:hint="eastAsia"/>
                <w:sz w:val="22"/>
              </w:rPr>
              <w:t>—</w:t>
            </w:r>
            <w:r>
              <w:rPr>
                <w:rFonts w:ascii="仿宋" w:eastAsia="仿宋" w:hAnsi="仿宋" w:cs="仿宋" w:hint="eastAsia"/>
                <w:sz w:val="22"/>
              </w:rPr>
              <w:t>31</w:t>
            </w:r>
            <w:r>
              <w:rPr>
                <w:rFonts w:ascii="仿宋" w:eastAsia="仿宋" w:hAnsi="仿宋" w:cs="仿宋" w:hint="eastAsia"/>
                <w:sz w:val="22"/>
              </w:rPr>
              <w:t>日在合肥皇冠假日酒店举办，上海南湖职业技术学院护理专业名师工作室主持人袁媛，</w:t>
            </w:r>
            <w:r>
              <w:rPr>
                <w:rFonts w:ascii="仿宋" w:eastAsia="仿宋" w:hAnsi="仿宋" w:cs="仿宋" w:hint="eastAsia"/>
                <w:sz w:val="22"/>
              </w:rPr>
              <w:t>即将</w:t>
            </w:r>
            <w:r>
              <w:rPr>
                <w:rFonts w:ascii="仿宋" w:eastAsia="仿宋" w:hAnsi="仿宋" w:cs="仿宋" w:hint="eastAsia"/>
                <w:sz w:val="22"/>
              </w:rPr>
              <w:t>组织工作室核心教师团队参会。袁媛老师提交的论文《“三护三线”</w:t>
            </w:r>
            <w:r>
              <w:rPr>
                <w:rFonts w:ascii="仿宋" w:eastAsia="仿宋" w:hAnsi="仿宋" w:cs="仿宋" w:hint="eastAsia"/>
                <w:sz w:val="22"/>
              </w:rPr>
              <w:t xml:space="preserve"> </w:t>
            </w:r>
            <w:r>
              <w:rPr>
                <w:rFonts w:ascii="仿宋" w:eastAsia="仿宋" w:hAnsi="仿宋" w:cs="仿宋" w:hint="eastAsia"/>
                <w:sz w:val="22"/>
              </w:rPr>
              <w:t>立核、“三寓三式”</w:t>
            </w:r>
            <w:r>
              <w:rPr>
                <w:rFonts w:ascii="仿宋" w:eastAsia="仿宋" w:hAnsi="仿宋" w:cs="仿宋" w:hint="eastAsia"/>
                <w:sz w:val="22"/>
              </w:rPr>
              <w:t xml:space="preserve"> </w:t>
            </w:r>
            <w:r>
              <w:rPr>
                <w:rFonts w:ascii="仿宋" w:eastAsia="仿宋" w:hAnsi="仿宋" w:cs="仿宋" w:hint="eastAsia"/>
                <w:sz w:val="22"/>
              </w:rPr>
              <w:t>赋能：高职护理专业课程思政体系构建与《基础护理》实践研究》，被大会录用于会上分享。</w:t>
            </w:r>
            <w:r>
              <w:rPr>
                <w:rFonts w:ascii="仿宋" w:eastAsia="仿宋" w:hAnsi="仿宋" w:cs="仿宋" w:hint="eastAsia"/>
                <w:sz w:val="22"/>
              </w:rPr>
              <w:t>本次会议指导</w:t>
            </w:r>
            <w:r>
              <w:rPr>
                <w:rFonts w:ascii="仿宋" w:eastAsia="仿宋" w:hAnsi="仿宋" w:cs="仿宋" w:hint="eastAsia"/>
                <w:sz w:val="22"/>
              </w:rPr>
              <w:t>工作室集体打磨参会论文，优化论文内容、提炼研究创新结论，提前梳理工作室教学改革实践素材，做好对外交流宣讲准备</w:t>
            </w:r>
            <w:r>
              <w:rPr>
                <w:rFonts w:ascii="仿宋" w:eastAsia="仿宋" w:hAnsi="仿宋" w:cs="仿宋" w:hint="eastAsia"/>
                <w:sz w:val="22"/>
              </w:rPr>
              <w:t>，在全国会议上展示上海南湖职院高职护理专业课程</w:t>
            </w:r>
            <w:r>
              <w:rPr>
                <w:rFonts w:ascii="仿宋" w:eastAsia="仿宋" w:hAnsi="仿宋" w:cs="仿宋" w:hint="eastAsia"/>
                <w:sz w:val="22"/>
              </w:rPr>
              <w:t>思政建设成果</w:t>
            </w:r>
            <w:r>
              <w:rPr>
                <w:rFonts w:ascii="仿宋" w:eastAsia="仿宋" w:hAnsi="仿宋" w:cs="仿宋" w:hint="eastAsia"/>
                <w:sz w:val="22"/>
              </w:rPr>
              <w:t>。</w:t>
            </w:r>
          </w:p>
          <w:p w14:paraId="3BEA40E1" w14:textId="77777777">
            <w:pPr>
              <w:spacing w:line="440" w:lineRule="exact"/>
              <w:ind w:firstLineChars="200" w:firstLine="440"/>
              <w:jc w:val="left"/>
              <w:rPr>
                <w:rFonts w:ascii="仿宋" w:eastAsia="仿宋" w:hAnsi="仿宋" w:cs="仿宋"/>
                <w:sz w:val="22"/>
              </w:rPr>
            </w:pPr>
            <w:r>
              <w:rPr>
                <w:rFonts w:ascii="仿宋" w:eastAsia="仿宋" w:hAnsi="仿宋" w:cs="仿宋" w:hint="eastAsia"/>
                <w:sz w:val="22"/>
              </w:rPr>
              <w:t>1.</w:t>
            </w:r>
            <w:r>
              <w:rPr>
                <w:rFonts w:ascii="仿宋" w:eastAsia="仿宋" w:hAnsi="仿宋" w:cs="仿宋" w:hint="eastAsia"/>
                <w:sz w:val="22"/>
              </w:rPr>
              <w:t>指导工作室打磨参会论文《</w:t>
            </w:r>
            <w:r>
              <w:rPr>
                <w:rFonts w:ascii="仿宋" w:eastAsia="仿宋" w:hAnsi="仿宋" w:cs="仿宋" w:hint="eastAsia"/>
                <w:sz w:val="22"/>
              </w:rPr>
              <w:t>"</w:t>
            </w:r>
            <w:r>
              <w:rPr>
                <w:rFonts w:ascii="仿宋" w:eastAsia="仿宋" w:hAnsi="仿宋" w:cs="仿宋" w:hint="eastAsia"/>
                <w:sz w:val="22"/>
              </w:rPr>
              <w:t>三护三线</w:t>
            </w:r>
            <w:r>
              <w:rPr>
                <w:rFonts w:ascii="仿宋" w:eastAsia="仿宋" w:hAnsi="仿宋" w:cs="仿宋" w:hint="eastAsia"/>
                <w:sz w:val="22"/>
              </w:rPr>
              <w:t>"</w:t>
            </w:r>
            <w:r>
              <w:rPr>
                <w:rFonts w:ascii="仿宋" w:eastAsia="仿宋" w:hAnsi="仿宋" w:cs="仿宋" w:hint="eastAsia"/>
                <w:sz w:val="22"/>
              </w:rPr>
              <w:t>立核、</w:t>
            </w:r>
            <w:r>
              <w:rPr>
                <w:rFonts w:ascii="仿宋" w:eastAsia="仿宋" w:hAnsi="仿宋" w:cs="仿宋" w:hint="eastAsia"/>
                <w:sz w:val="22"/>
              </w:rPr>
              <w:t>"</w:t>
            </w:r>
            <w:r>
              <w:rPr>
                <w:rFonts w:ascii="仿宋" w:eastAsia="仿宋" w:hAnsi="仿宋" w:cs="仿宋" w:hint="eastAsia"/>
                <w:sz w:val="22"/>
              </w:rPr>
              <w:t>三寓三式</w:t>
            </w:r>
            <w:r>
              <w:rPr>
                <w:rFonts w:ascii="仿宋" w:eastAsia="仿宋" w:hAnsi="仿宋" w:cs="仿宋" w:hint="eastAsia"/>
                <w:sz w:val="22"/>
              </w:rPr>
              <w:t>"</w:t>
            </w:r>
            <w:r>
              <w:rPr>
                <w:rFonts w:ascii="仿宋" w:eastAsia="仿宋" w:hAnsi="仿宋" w:cs="仿宋" w:hint="eastAsia"/>
                <w:sz w:val="22"/>
              </w:rPr>
              <w:t>赋能：高职护理专业课程思政体系构建与〈基础护理〉实践研究》，明确学术表达逻辑，提炼研究创新结论，优化论文结构与论证深度。</w:t>
            </w:r>
          </w:p>
          <w:p w14:paraId="34A4CBC8" w14:textId="77777777">
            <w:pPr>
              <w:spacing w:line="440" w:lineRule="exact"/>
              <w:ind w:firstLineChars="200" w:firstLine="440"/>
              <w:jc w:val="left"/>
              <w:rPr>
                <w:rFonts w:ascii="仿宋" w:eastAsia="仿宋" w:hAnsi="仿宋" w:cs="仿宋"/>
                <w:sz w:val="22"/>
              </w:rPr>
            </w:pPr>
            <w:r>
              <w:rPr>
                <w:rFonts w:ascii="仿宋" w:eastAsia="仿宋" w:hAnsi="仿宋" w:cs="仿宋" w:hint="eastAsia"/>
                <w:sz w:val="22"/>
              </w:rPr>
              <w:t>2.</w:t>
            </w:r>
            <w:r>
              <w:rPr>
                <w:rFonts w:ascii="仿宋" w:eastAsia="仿宋" w:hAnsi="仿宋" w:cs="仿宋" w:hint="eastAsia"/>
                <w:sz w:val="22"/>
              </w:rPr>
              <w:t>指导</w:t>
            </w:r>
            <w:r>
              <w:rPr>
                <w:rFonts w:ascii="仿宋" w:eastAsia="仿宋" w:hAnsi="仿宋" w:cs="仿宋" w:hint="eastAsia"/>
                <w:sz w:val="22"/>
              </w:rPr>
              <w:t>6</w:t>
            </w:r>
            <w:r>
              <w:rPr>
                <w:rFonts w:ascii="仿宋" w:eastAsia="仿宋" w:hAnsi="仿宋" w:cs="仿宋" w:hint="eastAsia"/>
                <w:sz w:val="22"/>
              </w:rPr>
              <w:t>分钟分会发言的</w:t>
            </w:r>
            <w:r>
              <w:rPr>
                <w:rFonts w:ascii="仿宋" w:eastAsia="仿宋" w:hAnsi="仿宋" w:cs="仿宋" w:hint="eastAsia"/>
                <w:sz w:val="22"/>
              </w:rPr>
              <w:t>PPT</w:t>
            </w:r>
            <w:r>
              <w:rPr>
                <w:rFonts w:ascii="仿宋" w:eastAsia="仿宋" w:hAnsi="仿宋" w:cs="仿宋" w:hint="eastAsia"/>
                <w:sz w:val="22"/>
              </w:rPr>
              <w:t>设计与汇报节奏，强调突出高职护理特色、</w:t>
            </w:r>
            <w:r>
              <w:rPr>
                <w:rFonts w:ascii="仿宋" w:eastAsia="仿宋" w:hAnsi="仿宋" w:cs="仿宋" w:hint="eastAsia"/>
                <w:sz w:val="22"/>
              </w:rPr>
              <w:t>"</w:t>
            </w:r>
            <w:r>
              <w:rPr>
                <w:rFonts w:ascii="仿宋" w:eastAsia="仿宋" w:hAnsi="仿宋" w:cs="仿宋" w:hint="eastAsia"/>
                <w:sz w:val="22"/>
              </w:rPr>
              <w:t>三护三线</w:t>
            </w:r>
            <w:r>
              <w:rPr>
                <w:rFonts w:ascii="仿宋" w:eastAsia="仿宋" w:hAnsi="仿宋" w:cs="仿宋" w:hint="eastAsia"/>
                <w:sz w:val="22"/>
              </w:rPr>
              <w:t>"</w:t>
            </w:r>
            <w:r>
              <w:rPr>
                <w:rFonts w:ascii="仿宋" w:eastAsia="仿宋" w:hAnsi="仿宋" w:cs="仿宋" w:hint="eastAsia"/>
                <w:sz w:val="22"/>
              </w:rPr>
              <w:t>顶层框架与《基础护理》一线教学实践数据，提醒控制时长、聚焦核心亮点。</w:t>
            </w:r>
          </w:p>
          <w:p w14:paraId="4EED3F21" w14:textId="77777777">
            <w:pPr>
              <w:spacing w:line="440" w:lineRule="exact"/>
              <w:ind w:firstLineChars="200" w:firstLine="440"/>
              <w:jc w:val="left"/>
              <w:rPr>
                <w:rFonts w:ascii="仿宋" w:eastAsia="仿宋" w:hAnsi="仿宋" w:cs="仿宋"/>
                <w:sz w:val="22"/>
              </w:rPr>
            </w:pPr>
            <w:r>
              <w:rPr>
                <w:rFonts w:ascii="仿宋" w:eastAsia="仿宋" w:hAnsi="仿宋" w:cs="仿宋" w:hint="eastAsia"/>
                <w:sz w:val="22"/>
              </w:rPr>
              <w:t>3.</w:t>
            </w:r>
            <w:r>
              <w:rPr>
                <w:rFonts w:ascii="仿宋" w:eastAsia="仿宋" w:hAnsi="仿宋" w:cs="仿宋" w:hint="eastAsia"/>
                <w:sz w:val="22"/>
              </w:rPr>
              <w:t>提醒工作室提前梳理教学改革实践素材，做好对外交流宣</w:t>
            </w:r>
            <w:r>
              <w:rPr>
                <w:rFonts w:ascii="仿宋" w:eastAsia="仿宋" w:hAnsi="仿宋" w:cs="仿宋" w:hint="eastAsia"/>
                <w:sz w:val="22"/>
              </w:rPr>
              <w:lastRenderedPageBreak/>
              <w:t>讲准备，明确参会学习重点与校际对接目标。</w:t>
            </w:r>
          </w:p>
          <w:p w14:paraId="3E9E0D65" w14:textId="77777777">
            <w:pPr>
              <w:spacing w:line="440" w:lineRule="exact"/>
              <w:jc w:val="left"/>
              <w:rPr>
                <w:rFonts w:ascii="仿宋" w:eastAsia="仿宋" w:hAnsi="仿宋" w:cs="仿宋"/>
                <w:sz w:val="22"/>
              </w:rPr>
            </w:pPr>
            <w:r>
              <w:rPr>
                <w:rFonts w:ascii="仿宋" w:eastAsia="仿宋" w:hAnsi="仿宋" w:cs="仿宋" w:hint="eastAsia"/>
                <w:sz w:val="22"/>
              </w:rPr>
              <w:t>二、中华护理学会</w:t>
            </w:r>
            <w:r>
              <w:rPr>
                <w:rFonts w:ascii="仿宋" w:eastAsia="仿宋" w:hAnsi="仿宋" w:cs="仿宋" w:hint="eastAsia"/>
                <w:sz w:val="22"/>
              </w:rPr>
              <w:t>参</w:t>
            </w:r>
            <w:r>
              <w:rPr>
                <w:rFonts w:ascii="仿宋" w:eastAsia="仿宋" w:hAnsi="仿宋" w:cs="仿宋" w:hint="eastAsia"/>
                <w:sz w:val="22"/>
              </w:rPr>
              <w:t>会后指导</w:t>
            </w:r>
          </w:p>
          <w:p w14:paraId="294EB5D8" w14:textId="77777777">
            <w:pPr>
              <w:spacing w:line="440" w:lineRule="exact"/>
              <w:jc w:val="left"/>
              <w:rPr>
                <w:rFonts w:ascii="仿宋" w:eastAsia="仿宋" w:hAnsi="仿宋" w:cs="仿宋"/>
                <w:sz w:val="22"/>
              </w:rPr>
            </w:pPr>
            <w:r>
              <w:rPr>
                <w:rFonts w:ascii="仿宋" w:eastAsia="仿宋" w:hAnsi="仿宋" w:cs="仿宋" w:hint="eastAsia"/>
                <w:sz w:val="22"/>
              </w:rPr>
              <w:t>1.</w:t>
            </w:r>
            <w:r>
              <w:rPr>
                <w:rFonts w:ascii="仿宋" w:eastAsia="仿宋" w:hAnsi="仿宋" w:cs="仿宋" w:hint="eastAsia"/>
                <w:sz w:val="22"/>
              </w:rPr>
              <w:t>组织工作室及时梳理大会主旨报告、分会场</w:t>
            </w:r>
            <w:r>
              <w:rPr>
                <w:rFonts w:ascii="仿宋" w:eastAsia="仿宋" w:hAnsi="仿宋" w:cs="仿宋" w:hint="eastAsia"/>
                <w:sz w:val="22"/>
              </w:rPr>
              <w:t>优秀论文与院校教改案例，分类建立数智化护理教学、五育融合思政、校院协同育人、双师队伍培养、虚拟仿真实训五大类案例资源库。</w:t>
            </w:r>
          </w:p>
          <w:p w14:paraId="62CCAA66" w14:textId="77777777">
            <w:pPr>
              <w:spacing w:line="440" w:lineRule="exact"/>
              <w:jc w:val="left"/>
              <w:rPr>
                <w:rFonts w:ascii="仿宋" w:eastAsia="仿宋" w:hAnsi="仿宋" w:cs="仿宋"/>
                <w:sz w:val="22"/>
              </w:rPr>
            </w:pPr>
            <w:r>
              <w:rPr>
                <w:rFonts w:ascii="仿宋" w:eastAsia="仿宋" w:hAnsi="仿宋" w:cs="仿宋" w:hint="eastAsia"/>
                <w:sz w:val="22"/>
              </w:rPr>
              <w:t>2.</w:t>
            </w:r>
            <w:r>
              <w:rPr>
                <w:rFonts w:ascii="仿宋" w:eastAsia="仿宋" w:hAnsi="仿宋" w:cs="仿宋" w:hint="eastAsia"/>
                <w:sz w:val="22"/>
              </w:rPr>
              <w:t>指导撰写活动总结与反思，要求从成果、反思、体会三个维度系统梳理，明确成果转化的具体路径与下一学年核心教研方向。</w:t>
            </w:r>
          </w:p>
          <w:p w14:paraId="0684EAB5" w14:textId="77777777">
            <w:pPr>
              <w:spacing w:line="440" w:lineRule="exact"/>
              <w:jc w:val="left"/>
              <w:rPr>
                <w:rFonts w:ascii="仿宋" w:eastAsia="仿宋" w:hAnsi="仿宋" w:cs="仿宋"/>
                <w:sz w:val="22"/>
              </w:rPr>
            </w:pPr>
            <w:r>
              <w:rPr>
                <w:rFonts w:ascii="仿宋" w:eastAsia="仿宋" w:hAnsi="仿宋" w:cs="仿宋" w:hint="eastAsia"/>
                <w:sz w:val="22"/>
              </w:rPr>
              <w:t>3.</w:t>
            </w:r>
            <w:r>
              <w:rPr>
                <w:rFonts w:ascii="仿宋" w:eastAsia="仿宋" w:hAnsi="仿宋" w:cs="仿宋" w:hint="eastAsia"/>
                <w:sz w:val="22"/>
              </w:rPr>
              <w:t>引导工作室结合“人本智护·强基增效·融创发展”大会主题，梳理适合职业院校的数智化护理教学落地路径，明确将</w:t>
            </w:r>
            <w:r>
              <w:rPr>
                <w:rFonts w:ascii="仿宋" w:eastAsia="仿宋" w:hAnsi="仿宋" w:cs="仿宋" w:hint="eastAsia"/>
                <w:sz w:val="22"/>
              </w:rPr>
              <w:t>AI</w:t>
            </w:r>
            <w:r>
              <w:rPr>
                <w:rFonts w:ascii="仿宋" w:eastAsia="仿宋" w:hAnsi="仿宋" w:cs="仿宋" w:hint="eastAsia"/>
                <w:sz w:val="22"/>
              </w:rPr>
              <w:t>教学工具、情景模拟、虚拟实训融入现有课程思政体系。</w:t>
            </w:r>
          </w:p>
        </w:tc>
      </w:tr>
      <w:tr w14:paraId="7D3F2E64" w14:textId="77777777">
        <w:trPr>
          <w:trHeight w:val="1551"/>
        </w:trPr>
        <w:tc>
          <w:tcPr>
            <w:tcW w:w="2130" w:type="dxa"/>
            <w:vAlign w:val="center"/>
          </w:tcPr>
          <w:p w14:paraId="4EC9A645" w14:textId="77777777">
            <w:pPr>
              <w:spacing w:line="440" w:lineRule="exact"/>
              <w:jc w:val="center"/>
              <w:rPr>
                <w:rFonts w:ascii="仿宋" w:eastAsia="仿宋" w:hAnsi="仿宋" w:cs="仿宋"/>
                <w:sz w:val="22"/>
              </w:rPr>
            </w:pPr>
            <w:r>
              <w:rPr>
                <w:rFonts w:ascii="仿宋" w:eastAsia="仿宋" w:hAnsi="仿宋" w:cs="仿宋" w:hint="eastAsia"/>
                <w:sz w:val="22"/>
              </w:rPr>
              <w:lastRenderedPageBreak/>
              <w:t>意见与建议</w:t>
            </w:r>
          </w:p>
        </w:tc>
        <w:tc>
          <w:tcPr>
            <w:tcW w:w="6392" w:type="dxa"/>
            <w:gridSpan w:val="3"/>
            <w:vAlign w:val="center"/>
          </w:tcPr>
          <w:p w14:paraId="33989E9D" w14:textId="77777777">
            <w:pPr>
              <w:spacing w:line="440" w:lineRule="exact"/>
              <w:ind w:firstLineChars="200" w:firstLine="440"/>
              <w:jc w:val="left"/>
              <w:rPr>
                <w:rFonts w:ascii="仿宋" w:eastAsia="仿宋" w:hAnsi="仿宋" w:cs="仿宋"/>
                <w:sz w:val="22"/>
              </w:rPr>
            </w:pPr>
            <w:r>
              <w:rPr>
                <w:rFonts w:ascii="仿宋" w:eastAsia="仿宋" w:hAnsi="仿宋" w:cs="仿宋" w:hint="eastAsia"/>
                <w:sz w:val="22"/>
              </w:rPr>
              <w:t>一、总体评价</w:t>
            </w:r>
          </w:p>
          <w:p w14:paraId="18AC6B9C" w14:textId="77777777">
            <w:pPr>
              <w:spacing w:line="440" w:lineRule="exact"/>
              <w:ind w:firstLineChars="200" w:firstLine="440"/>
              <w:jc w:val="left"/>
              <w:rPr>
                <w:rFonts w:ascii="仿宋" w:eastAsia="仿宋" w:hAnsi="仿宋" w:cs="仿宋"/>
                <w:sz w:val="22"/>
              </w:rPr>
            </w:pPr>
            <w:r>
              <w:rPr>
                <w:rFonts w:ascii="仿宋" w:eastAsia="仿宋" w:hAnsi="仿宋" w:cs="仿宋" w:hint="eastAsia"/>
                <w:sz w:val="22"/>
              </w:rPr>
              <w:t>本次名师工作室组团赴国家级高等护理教育学术会议交流学习，组织有序、成果突出。工作室深耕多年的高职护理课程思政专项研究论文成功入选大会分会发言，</w:t>
            </w:r>
            <w:r>
              <w:rPr>
                <w:rFonts w:ascii="仿宋" w:eastAsia="仿宋" w:hAnsi="仿宋" w:cs="仿宋" w:hint="eastAsia"/>
                <w:sz w:val="22"/>
              </w:rPr>
              <w:t>"</w:t>
            </w:r>
            <w:r>
              <w:rPr>
                <w:rFonts w:ascii="仿宋" w:eastAsia="仿宋" w:hAnsi="仿宋" w:cs="仿宋" w:hint="eastAsia"/>
                <w:sz w:val="22"/>
              </w:rPr>
              <w:t>三护三线、三寓三式</w:t>
            </w:r>
            <w:r>
              <w:rPr>
                <w:rFonts w:ascii="仿宋" w:eastAsia="仿宋" w:hAnsi="仿宋" w:cs="仿宋" w:hint="eastAsia"/>
                <w:sz w:val="22"/>
              </w:rPr>
              <w:t>"</w:t>
            </w:r>
            <w:r>
              <w:rPr>
                <w:rFonts w:ascii="仿宋" w:eastAsia="仿宋" w:hAnsi="仿宋" w:cs="仿宋" w:hint="eastAsia"/>
                <w:sz w:val="22"/>
              </w:rPr>
              <w:t>特色思政育人模式在全国会议上获得高度关注，树立了上海南湖职业技术学院高职护理专业课程思政建设特色品牌，充分发挥了名师工作室的辐射引领作用。</w:t>
            </w:r>
          </w:p>
          <w:p w14:paraId="151878C7" w14:textId="77777777">
            <w:pPr>
              <w:spacing w:line="440" w:lineRule="exact"/>
              <w:ind w:firstLineChars="200" w:firstLine="440"/>
              <w:jc w:val="left"/>
              <w:rPr>
                <w:rFonts w:ascii="仿宋" w:eastAsia="仿宋" w:hAnsi="仿宋" w:cs="仿宋"/>
                <w:sz w:val="22"/>
              </w:rPr>
            </w:pPr>
            <w:r>
              <w:rPr>
                <w:rFonts w:ascii="仿宋" w:eastAsia="仿宋" w:hAnsi="仿宋" w:cs="仿宋" w:hint="eastAsia"/>
                <w:sz w:val="22"/>
              </w:rPr>
              <w:t>二、具体建议</w:t>
            </w:r>
          </w:p>
          <w:p w14:paraId="7CAE28D1" w14:textId="77777777">
            <w:pPr>
              <w:spacing w:line="440" w:lineRule="exact"/>
              <w:ind w:firstLineChars="200" w:firstLine="440"/>
              <w:jc w:val="left"/>
              <w:rPr>
                <w:rFonts w:ascii="仿宋" w:eastAsia="仿宋" w:hAnsi="仿宋" w:cs="仿宋"/>
                <w:sz w:val="22"/>
              </w:rPr>
            </w:pPr>
            <w:r>
              <w:rPr>
                <w:rFonts w:ascii="仿宋" w:eastAsia="仿宋" w:hAnsi="仿宋" w:cs="仿宋" w:hint="eastAsia"/>
                <w:sz w:val="22"/>
              </w:rPr>
              <w:t>1.</w:t>
            </w:r>
            <w:r>
              <w:rPr>
                <w:rFonts w:ascii="仿宋" w:eastAsia="仿宋" w:hAnsi="仿宋" w:cs="仿宋" w:hint="eastAsia"/>
                <w:sz w:val="22"/>
              </w:rPr>
              <w:t>建立成果转化落地机制。本次会议收集了大量全国院校先进教改案例，建议建立“会议学习—校内试点—成果复盘”转化机制，切实将前沿经验转化为本校教学改革实效。</w:t>
            </w:r>
          </w:p>
          <w:p w14:paraId="1E2E7D93" w14:textId="77777777">
            <w:pPr>
              <w:spacing w:line="440" w:lineRule="exact"/>
              <w:ind w:firstLineChars="200" w:firstLine="440"/>
              <w:jc w:val="left"/>
              <w:rPr>
                <w:rFonts w:ascii="仿宋" w:eastAsia="仿宋" w:hAnsi="仿宋" w:cs="仿宋"/>
                <w:sz w:val="22"/>
              </w:rPr>
            </w:pPr>
            <w:r>
              <w:rPr>
                <w:rFonts w:ascii="仿宋" w:eastAsia="仿宋" w:hAnsi="仿宋" w:cs="仿宋" w:hint="eastAsia"/>
                <w:sz w:val="22"/>
              </w:rPr>
              <w:t>2.</w:t>
            </w:r>
            <w:r>
              <w:rPr>
                <w:rFonts w:ascii="仿宋" w:eastAsia="仿宋" w:hAnsi="仿宋" w:cs="仿宋" w:hint="eastAsia"/>
                <w:sz w:val="22"/>
              </w:rPr>
              <w:t>强化青年教师独立学术表达能力。本次</w:t>
            </w:r>
            <w:r>
              <w:rPr>
                <w:rFonts w:ascii="仿宋" w:eastAsia="仿宋" w:hAnsi="仿宋" w:cs="仿宋" w:hint="eastAsia"/>
                <w:sz w:val="22"/>
              </w:rPr>
              <w:t>仅由工作室主持人完成分会发言，青年教师缺乏国家级会议公开展示锻炼机会。建议工作室搭建分层展示平台，从校内教研分享、市级交流到全国大会汇报阶梯式锻炼青年教师，常态化开展学术汇报、论文宣讲、同行答辩训练，以学术成长带动课堂教学能力提升。</w:t>
            </w:r>
          </w:p>
          <w:p w14:paraId="0B9518A4" w14:textId="77777777">
            <w:pPr>
              <w:spacing w:line="440" w:lineRule="exact"/>
              <w:ind w:firstLineChars="200" w:firstLine="440"/>
              <w:jc w:val="left"/>
              <w:rPr>
                <w:rFonts w:ascii="仿宋" w:eastAsia="仿宋" w:hAnsi="仿宋" w:cs="仿宋"/>
                <w:sz w:val="22"/>
              </w:rPr>
            </w:pPr>
            <w:r>
              <w:rPr>
                <w:rFonts w:ascii="仿宋" w:eastAsia="仿宋" w:hAnsi="仿宋" w:cs="仿宋" w:hint="eastAsia"/>
                <w:sz w:val="22"/>
              </w:rPr>
              <w:t>3.</w:t>
            </w:r>
            <w:r>
              <w:rPr>
                <w:rFonts w:ascii="仿宋" w:eastAsia="仿宋" w:hAnsi="仿宋" w:cs="仿宋" w:hint="eastAsia"/>
                <w:sz w:val="22"/>
              </w:rPr>
              <w:t>加快数智化护理教学融合创新。大会几乎所有专题报告均围绕人工智能、虚拟仿真、大数据护理教学展开，本科院校已大规模落地智慧护理课堂。建议工作室主动承接数字化教学改革任务，将智能教学工具、线上虚拟实训与现有课程思政体系深度融合，缩小与国内先进院校发展差距。</w:t>
            </w:r>
          </w:p>
        </w:tc>
      </w:tr>
    </w:tbl>
    <w:p w14:paraId="5FE31639" w14:textId="7EFC51C0">
      <w:pPr>
        <w:jc w:val="right"/>
        <w:rPr>
          <w:sz w:val="28"/>
          <w:szCs w:val="28"/>
        </w:rPr>
      </w:pPr>
      <w:bookmarkStart w:id="0" w:name="_GoBack"/>
      <w:bookmarkEnd w:id="0"/>
      <w:r>
        <w:rPr>
          <w:rFonts w:hint="eastAsia"/>
          <w:sz w:val="28"/>
          <w:szCs w:val="28"/>
        </w:rPr>
        <w:lastRenderedPageBreak/>
        <w:t>签</w:t>
      </w:r>
      <w:r>
        <w:rPr>
          <w:rFonts w:hint="eastAsia"/>
          <w:sz w:val="28"/>
          <w:szCs w:val="28"/>
        </w:rPr>
        <w:t xml:space="preserve">  </w:t>
      </w:r>
      <w:r>
        <w:rPr>
          <w:rFonts w:hint="eastAsia"/>
          <w:sz w:val="28"/>
          <w:szCs w:val="28"/>
        </w:rPr>
        <w:t>名：</w:t>
      </w:r>
      <w:r>
        <w:rPr>
          <w:rFonts w:hint="eastAsia"/>
          <w:sz w:val="28"/>
          <w:szCs w:val="28"/>
        </w:rPr>
      </w:r>
    </w:p>
    <w:sect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0903E" w14:textId="77777777">
      <w:r>
        <w:separator/>
      </w:r>
    </w:p>
  </w:endnote>
  <w:endnote w:type="continuationSeparator" w:id="0">
    <w:p w14:paraId="5E9C356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A0A26E" w14:textId="77777777">
      <w:r>
        <w:separator/>
      </w:r>
    </w:p>
  </w:footnote>
  <w:footnote w:type="continuationSeparator" w:id="0">
    <w:p w14:paraId="5D9475D4" w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5ODJiODU0YzE3YjU2NWYwM2VmMjE3MzFkYzVlODgifQ=="/>
  </w:docVars>
  <w:rsids>
    <w:rsidRoot w:val="649E658A"/>
    <w:rsid w:val="00776BA5"/>
    <w:rsid w:val="00972EA1"/>
    <w:rsid w:val="00A431CE"/>
    <w:rsid w:val="51E53F4B"/>
    <w:rsid w:val="5BE9108E"/>
    <w:rsid w:val="649E6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4BC33B"/>
  <w15:docId w15:val="{0B07E6AA-D459-461A-A2DC-E3BF380F8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972EA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972EA1"/>
    <w:rPr>
      <w:kern w:val="2"/>
      <w:sz w:val="18"/>
      <w:szCs w:val="18"/>
    </w:rPr>
  </w:style>
  <w:style w:type="paragraph" w:styleId="a6">
    <w:name w:val="footer"/>
    <w:basedOn w:val="a"/>
    <w:link w:val="a7"/>
    <w:rsid w:val="00972EA1"/>
    <w:pPr>
      <w:tabs>
        <w:tab w:val="center" w:pos="4153"/>
        <w:tab w:val="right" w:pos="8306"/>
      </w:tabs>
      <w:snapToGrid w:val="0"/>
      <w:jc w:val="left"/>
    </w:pPr>
    <w:rPr>
      <w:sz w:val="18"/>
      <w:szCs w:val="18"/>
    </w:rPr>
  </w:style>
  <w:style w:type="character" w:customStyle="1" w:styleId="a7">
    <w:name w:val="页脚 字符"/>
    <w:basedOn w:val="a0"/>
    <w:link w:val="a6"/>
    <w:rsid w:val="00972EA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4</TotalTime>
  <Pages>3</Pages>
  <Words>214</Words>
  <Characters>1226</Characters>
  <Application>Microsoft Office Word</Application>
  <DocSecurity>0</DocSecurity>
  <Lines>10</Lines>
  <Paragraphs>2</Paragraphs>
  <ScaleCrop>false</ScaleCrop>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2B890870F973495487C6A98456ED1B52_13</vt:lpwstr>
  </property>
  <property fmtid="{D5CDD505-2E9C-101B-9397-08002B2CF9AE}" pid="4" name="KSOTemplateDocerSaveRecord">
    <vt:lpwstr>eyJoZGlkIjoiY2NiOGY0Y2Y5MTFiMDBiYzc4YjYxZDJjY2JiYjdlZWQiLCJ1c2VySWQiOiI0MTIxMDA2ODkifQ==</vt:lpwstr>
  </property>
</Properties>
</file>