
<file path=[Content_Types].xml><?xml version="1.0" encoding="utf-8"?>
<Types xmlns="http://schemas.openxmlformats.org/package/2006/content-types">
  <Default Extension="png" ContentType="image/png"/>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A4C8040">
      <w:pPr>
        <w:jc w:val="center"/>
        <w:rPr>
          <w:rFonts w:hint="eastAsia"/>
          <w:b/>
          <w:bCs/>
          <w:sz w:val="28"/>
          <w:szCs w:val="36"/>
        </w:rPr>
      </w:pPr>
      <w:r>
        <w:rPr>
          <w:rFonts w:hint="eastAsia"/>
          <w:b/>
          <w:bCs/>
          <w:sz w:val="28"/>
          <w:szCs w:val="36"/>
        </w:rPr>
        <w:t>赴蓝生脑</w:t>
      </w:r>
      <w:bookmarkStart w:id="0" w:name="_GoBack"/>
      <w:bookmarkEnd w:id="0"/>
      <w:r>
        <w:rPr>
          <w:rFonts w:hint="eastAsia"/>
          <w:b/>
          <w:bCs/>
          <w:sz w:val="28"/>
          <w:szCs w:val="36"/>
        </w:rPr>
        <w:t>科集团学习疑难病例护理个案竞赛活动</w:t>
      </w:r>
      <w:r>
        <w:rPr>
          <w:rFonts w:hint="eastAsia"/>
          <w:b/>
          <w:bCs/>
          <w:sz w:val="28"/>
          <w:szCs w:val="36"/>
          <w:lang w:val="en-US" w:eastAsia="zh-CN"/>
        </w:rPr>
        <w:t>交流</w:t>
      </w:r>
      <w:r>
        <w:rPr>
          <w:rFonts w:hint="eastAsia"/>
          <w:b/>
          <w:bCs/>
          <w:sz w:val="28"/>
          <w:szCs w:val="36"/>
        </w:rPr>
        <w:t>成果总结​</w:t>
      </w:r>
    </w:p>
    <w:p w14:paraId="109225A2">
      <w:pPr>
        <w:spacing w:line="360" w:lineRule="auto"/>
        <w:ind w:firstLine="480" w:firstLineChars="200"/>
        <w:rPr>
          <w:rFonts w:hint="eastAsia"/>
          <w:sz w:val="24"/>
          <w:szCs w:val="32"/>
        </w:rPr>
      </w:pPr>
      <w:r>
        <w:rPr>
          <w:rFonts w:hint="eastAsia"/>
          <w:sz w:val="24"/>
          <w:szCs w:val="32"/>
        </w:rPr>
        <w:t>为进一步提升</w:t>
      </w:r>
      <w:r>
        <w:rPr>
          <w:rFonts w:hint="eastAsia"/>
          <w:sz w:val="24"/>
          <w:szCs w:val="32"/>
          <w:lang w:val="en-US" w:eastAsia="zh-CN"/>
        </w:rPr>
        <w:t>工作室成员</w:t>
      </w:r>
      <w:r>
        <w:rPr>
          <w:rFonts w:hint="eastAsia"/>
          <w:sz w:val="24"/>
          <w:szCs w:val="32"/>
        </w:rPr>
        <w:t>在疑难病例护理方面的专业水平，为</w:t>
      </w:r>
      <w:r>
        <w:rPr>
          <w:rFonts w:hint="eastAsia"/>
          <w:sz w:val="24"/>
          <w:szCs w:val="32"/>
          <w:lang w:val="en-US" w:eastAsia="zh-CN"/>
        </w:rPr>
        <w:t>我校</w:t>
      </w:r>
      <w:r>
        <w:rPr>
          <w:rFonts w:hint="eastAsia"/>
          <w:sz w:val="24"/>
          <w:szCs w:val="32"/>
        </w:rPr>
        <w:t>护理</w:t>
      </w:r>
      <w:r>
        <w:rPr>
          <w:rFonts w:hint="eastAsia"/>
          <w:sz w:val="24"/>
          <w:szCs w:val="32"/>
          <w:lang w:val="en-US" w:eastAsia="zh-CN"/>
        </w:rPr>
        <w:t>专业教师</w:t>
      </w:r>
      <w:r>
        <w:rPr>
          <w:rFonts w:hint="eastAsia"/>
          <w:sz w:val="24"/>
          <w:szCs w:val="32"/>
        </w:rPr>
        <w:t>搭建交流平台，夯实专科基础，提升专科能力，</w:t>
      </w:r>
      <w:r>
        <w:rPr>
          <w:rFonts w:hint="eastAsia"/>
          <w:sz w:val="24"/>
          <w:szCs w:val="32"/>
          <w:lang w:val="en-US" w:eastAsia="zh-CN"/>
        </w:rPr>
        <w:t>同时提升培养学生临床思维的能力与思路</w:t>
      </w:r>
      <w:r>
        <w:rPr>
          <w:rFonts w:hint="eastAsia"/>
          <w:sz w:val="24"/>
          <w:szCs w:val="32"/>
        </w:rPr>
        <w:t>，</w:t>
      </w:r>
      <w:r>
        <w:rPr>
          <w:rFonts w:hint="eastAsia"/>
          <w:sz w:val="24"/>
          <w:szCs w:val="32"/>
          <w:lang w:val="en-US" w:eastAsia="zh-CN"/>
        </w:rPr>
        <w:t>2025年4月29日，</w:t>
      </w:r>
      <w:r>
        <w:rPr>
          <w:rFonts w:hint="eastAsia"/>
          <w:sz w:val="24"/>
          <w:szCs w:val="32"/>
        </w:rPr>
        <w:t>工作室组织学员前往蓝生脑科集团，深入学习疑难病例护理个案竞赛相关内容。本次学习活动成果丰硕，在知识技能提升、实践能力强化、交流合作深化等多方面取得显著成效，具体总结如下：​</w:t>
      </w:r>
    </w:p>
    <w:p w14:paraId="3C4AFAB5">
      <w:pPr>
        <w:spacing w:line="360" w:lineRule="auto"/>
        <w:rPr>
          <w:rFonts w:hint="eastAsia"/>
          <w:b/>
          <w:bCs/>
          <w:sz w:val="24"/>
          <w:szCs w:val="32"/>
        </w:rPr>
      </w:pPr>
      <w:r>
        <w:rPr>
          <w:rFonts w:hint="eastAsia"/>
          <w:b/>
          <w:bCs/>
          <w:sz w:val="24"/>
          <w:szCs w:val="32"/>
        </w:rPr>
        <w:t>一、专业知识与技能显著提升​</w:t>
      </w:r>
    </w:p>
    <w:p w14:paraId="156CF846">
      <w:pPr>
        <w:spacing w:line="360" w:lineRule="auto"/>
        <w:ind w:firstLine="480" w:firstLineChars="200"/>
        <w:rPr>
          <w:rFonts w:hint="eastAsia"/>
          <w:sz w:val="24"/>
          <w:szCs w:val="32"/>
        </w:rPr>
      </w:pPr>
      <w:r>
        <w:rPr>
          <w:rFonts w:hint="eastAsia"/>
          <w:sz w:val="24"/>
          <w:szCs w:val="32"/>
        </w:rPr>
        <w:t>学员通过观摩蓝生脑科集团疑难病例护理个案竞赛，系统学习了脑科疑难病症护理的前沿知识和创新方法。竞赛中，选手们围绕</w:t>
      </w:r>
      <w:r>
        <w:rPr>
          <w:rFonts w:hint="eastAsia"/>
          <w:sz w:val="24"/>
          <w:szCs w:val="32"/>
          <w:lang w:val="en-US" w:eastAsia="zh-CN"/>
        </w:rPr>
        <w:t>高龄多重疾病的患者护理</w:t>
      </w:r>
      <w:r>
        <w:rPr>
          <w:rFonts w:hint="eastAsia"/>
          <w:sz w:val="24"/>
          <w:szCs w:val="32"/>
        </w:rPr>
        <w:t>，如</w:t>
      </w:r>
      <w:r>
        <w:rPr>
          <w:rFonts w:hint="eastAsia"/>
          <w:sz w:val="24"/>
          <w:szCs w:val="32"/>
          <w:lang w:val="en-US" w:eastAsia="zh-CN"/>
        </w:rPr>
        <w:t>脑中风后吞咽障碍</w:t>
      </w:r>
      <w:r>
        <w:rPr>
          <w:rFonts w:hint="eastAsia"/>
          <w:sz w:val="24"/>
          <w:szCs w:val="32"/>
        </w:rPr>
        <w:t>、</w:t>
      </w:r>
      <w:r>
        <w:rPr>
          <w:rFonts w:hint="eastAsia"/>
          <w:sz w:val="24"/>
          <w:szCs w:val="32"/>
          <w:lang w:val="en-US" w:eastAsia="zh-CN"/>
        </w:rPr>
        <w:t>94岁高龄老人股骨颈骨折术后谵妄护理</w:t>
      </w:r>
      <w:r>
        <w:rPr>
          <w:rFonts w:hint="eastAsia"/>
          <w:sz w:val="24"/>
          <w:szCs w:val="32"/>
        </w:rPr>
        <w:t>等病例，从病情观察、护理评估、个性化护理方案制定到并发症预防与处理等环节，进行了全面且深入的展示。学员们在学习过程中，不仅掌握了</w:t>
      </w:r>
      <w:r>
        <w:rPr>
          <w:rFonts w:hint="eastAsia"/>
          <w:sz w:val="24"/>
          <w:szCs w:val="32"/>
          <w:lang w:val="en-US" w:eastAsia="zh-CN"/>
        </w:rPr>
        <w:t>询证</w:t>
      </w:r>
      <w:r>
        <w:rPr>
          <w:rFonts w:hint="eastAsia"/>
          <w:sz w:val="24"/>
          <w:szCs w:val="32"/>
        </w:rPr>
        <w:t>护理的关键要点，还接触到了如精准营养支持策略、早期康复介入方案等先进护理技术和理念。同时，对护理文书的规范书写、个案汇报的逻辑架构和表达技巧也有了更深刻的认识，有效提升了学员的专业知识储备和综合技能水平。​</w:t>
      </w:r>
    </w:p>
    <w:p w14:paraId="4974BF19">
      <w:pPr>
        <w:spacing w:line="360" w:lineRule="auto"/>
        <w:rPr>
          <w:rFonts w:hint="eastAsia"/>
          <w:b/>
          <w:bCs/>
          <w:sz w:val="24"/>
          <w:szCs w:val="32"/>
        </w:rPr>
      </w:pPr>
      <w:r>
        <w:rPr>
          <w:rFonts w:hint="eastAsia"/>
          <w:b/>
          <w:bCs/>
          <w:sz w:val="24"/>
          <w:szCs w:val="32"/>
        </w:rPr>
        <w:t>二、临床思维与实践能力强化​</w:t>
      </w:r>
    </w:p>
    <w:p w14:paraId="34E20A9F">
      <w:pPr>
        <w:spacing w:line="360" w:lineRule="auto"/>
        <w:ind w:firstLine="480" w:firstLineChars="200"/>
        <w:rPr>
          <w:rFonts w:hint="eastAsia"/>
          <w:sz w:val="24"/>
          <w:szCs w:val="32"/>
        </w:rPr>
      </w:pPr>
      <w:r>
        <w:rPr>
          <w:rFonts w:hint="eastAsia"/>
          <w:sz w:val="24"/>
          <w:szCs w:val="32"/>
        </w:rPr>
        <w:t>在竞赛案例学习和现场交流环节，学员们深入分析各类疑难病例的特点和护理难点，积极参与讨论，逐步培养了敏锐的临床观察力和科学的护理决策能力。面对复杂多变的病情，学员们学会了从多角度思考问题，综合运用所学知识制定个性化护理方案，并在模拟案例分析中进行实践演练。这种理论与实践相结合的学习方式，让学员们能够将在竞赛中学到的经验和方法转化为实际工作能力，有效提升了应对疑难病例护理的应变能力和问题解决能力，为今后在</w:t>
      </w:r>
      <w:r>
        <w:rPr>
          <w:rFonts w:hint="eastAsia"/>
          <w:sz w:val="24"/>
          <w:szCs w:val="32"/>
          <w:lang w:val="en-US" w:eastAsia="zh-CN"/>
        </w:rPr>
        <w:t>教学</w:t>
      </w:r>
      <w:r>
        <w:rPr>
          <w:rFonts w:hint="eastAsia"/>
          <w:sz w:val="24"/>
          <w:szCs w:val="32"/>
        </w:rPr>
        <w:t>工作中</w:t>
      </w:r>
      <w:r>
        <w:rPr>
          <w:rFonts w:hint="eastAsia"/>
          <w:sz w:val="24"/>
          <w:szCs w:val="32"/>
          <w:lang w:val="en-US" w:eastAsia="zh-CN"/>
        </w:rPr>
        <w:t>积累临床典型</w:t>
      </w:r>
      <w:r>
        <w:rPr>
          <w:rFonts w:hint="eastAsia"/>
          <w:sz w:val="24"/>
          <w:szCs w:val="32"/>
        </w:rPr>
        <w:t>病例</w:t>
      </w:r>
      <w:r>
        <w:rPr>
          <w:rFonts w:hint="eastAsia"/>
          <w:sz w:val="24"/>
          <w:szCs w:val="32"/>
          <w:lang w:eastAsia="zh-CN"/>
        </w:rPr>
        <w:t>，</w:t>
      </w:r>
      <w:r>
        <w:rPr>
          <w:rFonts w:hint="eastAsia"/>
          <w:sz w:val="24"/>
          <w:szCs w:val="32"/>
          <w:lang w:val="en-US" w:eastAsia="zh-CN"/>
        </w:rPr>
        <w:t>培养学生临床思维</w:t>
      </w:r>
      <w:r>
        <w:rPr>
          <w:rFonts w:hint="eastAsia"/>
          <w:sz w:val="24"/>
          <w:szCs w:val="32"/>
        </w:rPr>
        <w:t>奠定了坚实基础。​</w:t>
      </w:r>
    </w:p>
    <w:p w14:paraId="5C06959D">
      <w:pPr>
        <w:spacing w:line="360" w:lineRule="auto"/>
        <w:rPr>
          <w:rFonts w:hint="eastAsia"/>
          <w:b/>
          <w:bCs/>
          <w:sz w:val="24"/>
          <w:szCs w:val="32"/>
        </w:rPr>
      </w:pPr>
      <w:r>
        <w:rPr>
          <w:rFonts w:hint="eastAsia"/>
          <w:b/>
          <w:bCs/>
          <w:sz w:val="24"/>
          <w:szCs w:val="32"/>
        </w:rPr>
        <w:t>三、创新意识与</w:t>
      </w:r>
      <w:r>
        <w:rPr>
          <w:rFonts w:hint="eastAsia"/>
          <w:b/>
          <w:bCs/>
          <w:sz w:val="24"/>
          <w:szCs w:val="32"/>
          <w:lang w:val="en-US" w:eastAsia="zh-CN"/>
        </w:rPr>
        <w:t>创新</w:t>
      </w:r>
      <w:r>
        <w:rPr>
          <w:rFonts w:hint="eastAsia"/>
          <w:b/>
          <w:bCs/>
          <w:sz w:val="24"/>
          <w:szCs w:val="32"/>
        </w:rPr>
        <w:t>理念更新​</w:t>
      </w:r>
    </w:p>
    <w:p w14:paraId="490A59E8">
      <w:pPr>
        <w:spacing w:line="360" w:lineRule="auto"/>
        <w:ind w:firstLine="480" w:firstLineChars="200"/>
        <w:rPr>
          <w:rFonts w:hint="eastAsia"/>
          <w:sz w:val="24"/>
          <w:szCs w:val="32"/>
        </w:rPr>
      </w:pPr>
      <w:r>
        <w:rPr>
          <w:rFonts w:hint="eastAsia"/>
          <w:sz w:val="24"/>
          <w:szCs w:val="32"/>
        </w:rPr>
        <w:t>蓝生脑科集团疑难病例护理个案竞赛中展现出的创新护理模式和服务理念，为学员们带来了全新的启发。竞赛中，众多选手运用循证护理、多学科协作护理等模式，针对患者的特殊需求和心理状态，创新设计了一系列人文关怀举措和康复促进方案。学员们深受触动，在学习过程中积极探索适合自身工作场景的创新护理思路，如如何优化护理流程、提升患者就医体验、加强护理服务的连续性和个性化等。此次学习促使学员们更新</w:t>
      </w:r>
      <w:r>
        <w:rPr>
          <w:rFonts w:hint="eastAsia"/>
          <w:sz w:val="24"/>
          <w:szCs w:val="32"/>
          <w:lang w:val="en-US" w:eastAsia="zh-CN"/>
        </w:rPr>
        <w:t>教学</w:t>
      </w:r>
      <w:r>
        <w:rPr>
          <w:rFonts w:hint="eastAsia"/>
          <w:sz w:val="24"/>
          <w:szCs w:val="32"/>
        </w:rPr>
        <w:t>理念，</w:t>
      </w:r>
      <w:r>
        <w:rPr>
          <w:rFonts w:hint="eastAsia"/>
          <w:sz w:val="24"/>
          <w:szCs w:val="32"/>
          <w:lang w:val="en-US" w:eastAsia="zh-CN"/>
        </w:rPr>
        <w:t>特别是针对护理技能国赛新标准的改变，此次学习有效提升了护理专业教师对于临床创新与教学创新相结和的意识。​</w:t>
      </w:r>
      <w:r>
        <w:rPr>
          <w:rFonts w:hint="eastAsia"/>
          <w:sz w:val="24"/>
          <w:szCs w:val="32"/>
        </w:rPr>
        <w:t>​</w:t>
      </w:r>
    </w:p>
    <w:p w14:paraId="11CF6B2A">
      <w:pPr>
        <w:spacing w:line="360" w:lineRule="auto"/>
        <w:rPr>
          <w:rFonts w:hint="eastAsia"/>
          <w:b/>
          <w:bCs/>
          <w:sz w:val="24"/>
          <w:szCs w:val="32"/>
        </w:rPr>
      </w:pPr>
      <w:r>
        <w:rPr>
          <w:rFonts w:hint="eastAsia"/>
          <w:b/>
          <w:bCs/>
          <w:sz w:val="24"/>
          <w:szCs w:val="32"/>
        </w:rPr>
        <w:t>四、团队协作与交流合作深化​</w:t>
      </w:r>
    </w:p>
    <w:p w14:paraId="307B03C7">
      <w:pPr>
        <w:spacing w:line="360" w:lineRule="auto"/>
        <w:ind w:firstLine="480" w:firstLineChars="200"/>
        <w:rPr>
          <w:rFonts w:hint="eastAsia"/>
          <w:sz w:val="24"/>
          <w:szCs w:val="32"/>
        </w:rPr>
      </w:pPr>
      <w:r>
        <w:rPr>
          <w:rFonts w:hint="eastAsia"/>
          <w:sz w:val="24"/>
          <w:szCs w:val="32"/>
        </w:rPr>
        <w:t>蓝生脑科副总裁叶文琴、医疗管理部护理总监周咏梅主任护师、护理督导主任朱建英教授、护理培训主任唐秀花主任护师</w:t>
      </w:r>
      <w:r>
        <w:rPr>
          <w:rFonts w:hint="eastAsia"/>
          <w:sz w:val="24"/>
          <w:szCs w:val="32"/>
          <w:lang w:val="en-US" w:eastAsia="zh-CN"/>
        </w:rPr>
        <w:t>给于指导。</w:t>
      </w:r>
      <w:r>
        <w:rPr>
          <w:rFonts w:hint="eastAsia"/>
          <w:sz w:val="24"/>
          <w:szCs w:val="32"/>
        </w:rPr>
        <w:t>“个案护理不是简单的经验总结，而是具有前瞻性的、具有科学循证依据的主动干预，能高效解决患者的疑难问题及预防并发症的发生，提升专科护理水平，促进患者安全感、获得感、幸福感，助推蓝生脑科高质量发展。”叶文琴在总结讲评时表示，作为一名医务工作者，关键在于敬佑生命，永不放弃。</w:t>
      </w:r>
    </w:p>
    <w:p w14:paraId="078B91E6">
      <w:pPr>
        <w:spacing w:line="360" w:lineRule="auto"/>
        <w:ind w:firstLine="480" w:firstLineChars="200"/>
        <w:rPr>
          <w:rFonts w:hint="eastAsia"/>
          <w:sz w:val="24"/>
          <w:szCs w:val="32"/>
        </w:rPr>
      </w:pPr>
      <w:r>
        <w:rPr>
          <w:rFonts w:hint="eastAsia"/>
          <w:sz w:val="24"/>
          <w:szCs w:val="32"/>
        </w:rPr>
        <w:t>本次学习活动为学员们搭建了良好的交流合作平台。在与蓝生脑科集团护理团队及其他参赛单位的交流过程中，学员们分享了各自的工作经验和见解，拓宽了视野，增进了彼此的了解和信任。同时，在小组学习和案例讨论中，学员们相互协作、取长补短，充分发挥团队优势，共同攻克学习过程中的难点问题。这种团队协作和交流合作的学习氛围，不仅提升了学员们的团队协作能力，还为今后开展跨区域、跨单位的护理学术交流与合作奠定了良好基础，有助于推动护理事业的共同发展。​</w:t>
      </w:r>
    </w:p>
    <w:p w14:paraId="2C144CDF">
      <w:pPr>
        <w:spacing w:line="360" w:lineRule="auto"/>
        <w:rPr>
          <w:rFonts w:hint="eastAsia"/>
          <w:sz w:val="24"/>
          <w:szCs w:val="32"/>
        </w:rPr>
      </w:pPr>
      <w:r>
        <w:rPr>
          <w:rFonts w:hint="eastAsia"/>
          <w:b/>
          <w:bCs/>
          <w:sz w:val="24"/>
          <w:szCs w:val="32"/>
        </w:rPr>
        <w:t>五、后续转化与长效发展规划​</w:t>
      </w:r>
    </w:p>
    <w:p w14:paraId="3D95D40F">
      <w:pPr>
        <w:spacing w:line="360" w:lineRule="auto"/>
        <w:ind w:firstLine="480" w:firstLineChars="200"/>
        <w:rPr>
          <w:rFonts w:hint="eastAsia"/>
          <w:sz w:val="24"/>
          <w:szCs w:val="32"/>
        </w:rPr>
      </w:pPr>
      <w:r>
        <w:rPr>
          <w:rFonts w:hint="eastAsia"/>
          <w:sz w:val="24"/>
          <w:szCs w:val="32"/>
        </w:rPr>
        <w:t>学习活动结束后，工作室组织学员开展了成果分享会和学习总结，将本次学习的收获进行系统梳理和归纳。同时，制定了详细的成果转化计划，要求学员结合自身工作实际，将所学知识和技能应用到</w:t>
      </w:r>
      <w:r>
        <w:rPr>
          <w:rFonts w:hint="eastAsia"/>
          <w:sz w:val="24"/>
          <w:szCs w:val="32"/>
          <w:lang w:val="en-US" w:eastAsia="zh-CN"/>
        </w:rPr>
        <w:t>教学</w:t>
      </w:r>
      <w:r>
        <w:rPr>
          <w:rFonts w:hint="eastAsia"/>
          <w:sz w:val="24"/>
          <w:szCs w:val="32"/>
        </w:rPr>
        <w:t>工作中，并定期进行效果评估和经验总结。此外，工作室还计划与蓝生脑科集团建立长期合作关系，开展定期的学术交流、培训学习和案例研讨活动，持续跟踪护理行业发展动态，不断提升学员的专业素养和工作室的整体实力，为培养高素质护理人才、推动护理事业高质量发展贡献力量。</w:t>
      </w:r>
    </w:p>
    <w:p w14:paraId="422A2550">
      <w:pPr>
        <w:spacing w:line="360" w:lineRule="auto"/>
        <w:ind w:firstLine="480" w:firstLineChars="200"/>
        <w:rPr>
          <w:rFonts w:hint="default" w:eastAsiaTheme="minorEastAsia"/>
          <w:sz w:val="24"/>
          <w:szCs w:val="32"/>
          <w:lang w:val="en-US" w:eastAsia="zh-CN"/>
        </w:rPr>
      </w:pPr>
    </w:p>
    <w:p w14:paraId="04F37BCE">
      <w:pPr>
        <w:spacing w:line="360" w:lineRule="auto"/>
        <w:jc w:val="both"/>
        <w:rPr>
          <w:rFonts w:hint="eastAsia"/>
          <w:sz w:val="24"/>
          <w:szCs w:val="32"/>
        </w:rPr>
      </w:pPr>
      <w:r>
        <w:rPr>
          <w:rFonts w:hint="eastAsia" w:eastAsiaTheme="minorEastAsia"/>
          <w:sz w:val="24"/>
          <w:szCs w:val="32"/>
          <w:lang w:eastAsia="zh-CN"/>
        </w:rPr>
        <w:drawing>
          <wp:inline distT="0" distB="0" distL="114300" distR="114300">
            <wp:extent cx="5267325" cy="3171190"/>
            <wp:effectExtent l="0" t="0" r="3175" b="3810"/>
            <wp:docPr id="3"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eviewed illustration"/>
                    <pic:cNvPicPr>
                      <a:picLocks noChangeAspect="1"/>
                    </pic:cNvPicPr>
                  </pic:nvPicPr>
                  <pic:blipFill>
                    <a:blip r:embed="rId4"/>
                    <a:stretch>
                      <a:fillRect/>
                    </a:stretch>
                  </pic:blipFill>
                  <pic:spPr>
                    <a:xfrm>
                      <a:off x="0" y="0"/>
                      <a:ext cx="5267325" cy="3171190"/>
                    </a:xfrm>
                    <a:prstGeom prst="rect">
                      <a:avLst/>
                    </a:prstGeom>
                  </pic:spPr>
                </pic:pic>
              </a:graphicData>
            </a:graphic>
          </wp:inline>
        </w:drawing>
      </w:r>
    </w:p>
    <w:p w14:paraId="730005F5">
      <w:pPr>
        <w:spacing w:line="360" w:lineRule="auto"/>
        <w:rPr>
          <w:rFonts w:hint="eastAsia" w:eastAsiaTheme="minorEastAsia"/>
          <w:sz w:val="24"/>
          <w:szCs w:val="32"/>
          <w:lang w:eastAsia="zh-CN"/>
        </w:rPr>
      </w:pPr>
      <w:r>
        <w:rPr>
          <w:rFonts w:hint="eastAsia" w:eastAsiaTheme="minorEastAsia"/>
          <w:sz w:val="24"/>
          <w:szCs w:val="32"/>
          <w:lang w:eastAsia="zh-CN"/>
        </w:rPr>
        <w:drawing>
          <wp:inline distT="0" distB="0" distL="114300" distR="114300">
            <wp:extent cx="5232400" cy="3924300"/>
            <wp:effectExtent l="0" t="0" r="0" b="0"/>
            <wp:docPr id="1"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Reviewed illustration"/>
                    <pic:cNvPicPr>
                      <a:picLocks noChangeAspect="1"/>
                    </pic:cNvPicPr>
                  </pic:nvPicPr>
                  <pic:blipFill>
                    <a:blip r:embed="rId5"/>
                    <a:stretch>
                      <a:fillRect/>
                    </a:stretch>
                  </pic:blipFill>
                  <pic:spPr>
                    <a:xfrm>
                      <a:off x="0" y="0"/>
                      <a:ext cx="5232400" cy="3924300"/>
                    </a:xfrm>
                    <a:prstGeom prst="rect">
                      <a:avLst/>
                    </a:prstGeom>
                  </pic:spPr>
                </pic:pic>
              </a:graphicData>
            </a:graphic>
          </wp:inline>
        </w:drawing>
      </w:r>
    </w:p>
    <w:p w14:paraId="08C97755">
      <w:pPr>
        <w:spacing w:line="360" w:lineRule="auto"/>
        <w:rPr>
          <w:rFonts w:hint="eastAsia" w:eastAsiaTheme="minorEastAsia"/>
          <w:sz w:val="24"/>
          <w:szCs w:val="32"/>
          <w:lang w:eastAsia="zh-CN"/>
        </w:rPr>
      </w:pPr>
      <w:r>
        <w:rPr>
          <w:rFonts w:hint="eastAsia"/>
          <w:sz w:val="24"/>
          <w:szCs w:val="32"/>
          <w:lang w:eastAsia="zh-CN"/>
        </w:rPr>
        <w:drawing>
          <wp:inline distT="0" distB="0" distL="114300" distR="114300">
            <wp:extent cx="5266690" cy="3511550"/>
            <wp:effectExtent l="0" t="0" r="3810" b="6350"/>
            <wp:docPr id="2" name="Reviewe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Reviewed illustration"/>
                    <pic:cNvPicPr>
                      <a:picLocks noChangeAspect="1"/>
                    </pic:cNvPicPr>
                  </pic:nvPicPr>
                  <pic:blipFill>
                    <a:blip r:embed="rId6"/>
                    <a:stretch>
                      <a:fillRect/>
                    </a:stretch>
                  </pic:blipFill>
                  <pic:spPr>
                    <a:xfrm>
                      <a:off x="0" y="0"/>
                      <a:ext cx="5266690" cy="3511550"/>
                    </a:xfrm>
                    <a:prstGeom prst="rect">
                      <a:avLst/>
                    </a:prstGeom>
                  </pic:spPr>
                </pic:pic>
              </a:graphicData>
            </a:graphic>
          </wp:inline>
        </w:drawing>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6963019"/>
    <w:rsid w:val="0B9A442E"/>
    <w:rsid w:val="13FE7686"/>
    <w:rsid w:val="18BE5FC5"/>
    <w:rsid w:val="1A832C19"/>
    <w:rsid w:val="1B59217A"/>
    <w:rsid w:val="1F525DE3"/>
    <w:rsid w:val="411E0040"/>
    <w:rsid w:val="4477356D"/>
    <w:rsid w:val="4DE32300"/>
    <w:rsid w:val="60323B3A"/>
    <w:rsid w:val="60445C2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pn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
  <Pages>4</Pages>
  <Words>1633</Words>
  <Characters>1639</Characters>
  <Lines>0</Lines>
  <Paragraphs>0</Paragraphs>
  <TotalTime>1</TotalTime>
  <ScaleCrop>false</ScaleCrop>
  <LinksUpToDate>false</LinksUpToDate>
  <CharactersWithSpaces>1639</CharactersWithSpaces>
  <Application>WPS Office_12.1.0.21915_F1E327BC-269C-435d-A152-05C5408002CA</Application>
  <DocSecurity>0</DocSecurity>
</Properties>
</file>

<file path=docProps/core.xml><?xml version="1.0" encoding="utf-8"?>
<cp:coreProperties xmlns:cp="http://schemas.openxmlformats.org/package/2006/metadata/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2052-12.1.0.21915</vt:lpwstr>
  </property>
  <property fmtid="{D5CDD505-2E9C-101B-9397-08002B2CF9AE}" pid="3" name="KSOTemplateDocerSaveRecord">
    <vt:lpwstr>eyJoZGlkIjoiY2NiOGY0Y2Y5MTFiMDBiYzc4YjYxZDJjY2JiYjdlZWQiLCJ1c2VySWQiOiI0MTIxMDA2ODkifQ==</vt:lpwstr>
  </property>
  <property fmtid="{D5CDD505-2E9C-101B-9397-08002B2CF9AE}" pid="4" name="ICV">
    <vt:lpwstr>2DB55E0EC8CA4CB1BB4D49A1933A2AE9_12</vt:lpwstr>
  </property>
</Properties>
</file>