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82CAC3">
      <w:pPr>
        <w:pStyle w:val="2"/>
        <w:jc w:val="center"/>
        <w:rPr>
          <w:rFonts w:hint="eastAsia" w:ascii="宋体" w:hAnsi="宋体" w:eastAsia="宋体" w:cs="宋体"/>
          <w:sz w:val="32"/>
          <w:szCs w:val="32"/>
        </w:rPr>
      </w:pPr>
      <w:bookmarkStart w:id="0" w:name="_GoBack"/>
      <w:r>
        <w:rPr>
          <w:rFonts w:hint="eastAsia" w:ascii="宋体" w:hAnsi="宋体" w:eastAsia="宋体" w:cs="宋体"/>
          <w:sz w:val="32"/>
          <w:szCs w:val="32"/>
        </w:rPr>
        <w:t>“国控专业” 背景下护理专业高本贯通培养试点项目研究</w:t>
      </w:r>
    </w:p>
    <w:bookmarkEnd w:id="0"/>
    <w:p w14:paraId="49D4E1F2">
      <w:pPr>
        <w:pStyle w:val="16"/>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2024年2月，教育部将护理学专业纳入 “国控专业”</w:t>
      </w:r>
      <w:r>
        <w:rPr>
          <w:rFonts w:hint="eastAsia" w:ascii="宋体" w:hAnsi="宋体" w:eastAsia="宋体" w:cs="宋体"/>
          <w:sz w:val="24"/>
          <w:szCs w:val="24"/>
          <w:lang w:eastAsia="zh-CN"/>
        </w:rPr>
        <w:t>，</w:t>
      </w:r>
      <w:r>
        <w:rPr>
          <w:rFonts w:hint="eastAsia" w:ascii="宋体" w:hAnsi="宋体" w:eastAsia="宋体" w:cs="宋体"/>
          <w:sz w:val="24"/>
          <w:szCs w:val="24"/>
        </w:rPr>
        <w:t>国控专业是指国家控制布点的专业，其设置和调整需经过教育部严格审批与管理。这一举措意味着国家对护理专业发展提出了更高要求与期望。</w:t>
      </w:r>
      <w:r>
        <w:rPr>
          <w:rFonts w:hint="eastAsia" w:ascii="宋体" w:hAnsi="宋体" w:eastAsia="宋体" w:cs="宋体"/>
          <w:sz w:val="24"/>
          <w:szCs w:val="24"/>
          <w:lang w:val="en-US" w:eastAsia="zh-CN"/>
        </w:rPr>
        <w:t>针对这一变革，我校护理专业通过积极调研，创新模式，联合上海健康医学院护理学专业、上海交通大学医学院附属仁济医院、同济大学附属上海市第十人民医院、复旦大学附属口腔医院开创性地提出了护理专业高本贯通专科方向护士培养模式。</w:t>
      </w:r>
      <w:r>
        <w:rPr>
          <w:rFonts w:hint="eastAsia" w:ascii="宋体" w:hAnsi="宋体" w:eastAsia="宋体" w:cs="宋体"/>
          <w:sz w:val="24"/>
          <w:szCs w:val="24"/>
        </w:rPr>
        <w:t>
</w:t>
      </w:r>
    </w:p>
    <w:p w14:paraId="598D9FB7">
      <w:pPr>
        <w:pStyle w:val="3"/>
        <w:spacing w:line="360" w:lineRule="auto"/>
        <w:ind w:firstLine="482" w:firstLineChars="200"/>
        <w:rPr>
          <w:rFonts w:hint="eastAsia" w:ascii="宋体" w:hAnsi="宋体" w:eastAsia="宋体" w:cs="宋体"/>
          <w:sz w:val="24"/>
          <w:szCs w:val="24"/>
        </w:rPr>
      </w:pPr>
      <w:r>
        <w:rPr>
          <w:rFonts w:hint="eastAsia" w:ascii="宋体" w:hAnsi="宋体" w:eastAsia="宋体" w:cs="宋体"/>
          <w:sz w:val="24"/>
          <w:szCs w:val="24"/>
        </w:rPr>
        <w:t>一、国控专业背景与护理专业变革
</w:t>
      </w:r>
    </w:p>
    <w:p w14:paraId="69B1E129">
      <w:pPr>
        <w:pStyle w:val="16"/>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国控对护理专业的影响主要体现在以下方面：
</w:t>
      </w:r>
    </w:p>
    <w:p w14:paraId="20596B67">
      <w:pPr>
        <w:pStyle w:val="16"/>
        <w:numPr>
          <w:ilvl w:val="0"/>
          <w:numId w:val="1"/>
        </w:num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提高专业门槛，未来更多本科及以上层次的护理教育机构将获批，中专学历逐步退出。
</w:t>
      </w:r>
    </w:p>
    <w:p w14:paraId="719D81A2">
      <w:pPr>
        <w:pStyle w:val="16"/>
        <w:numPr>
          <w:ilvl w:val="0"/>
          <w:numId w:val="1"/>
        </w:num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优化资源配置，通过国家调控避免专业过度扩张，确保人才培养质量，满足社会对高素质医学人才的需求。
</w:t>
      </w:r>
    </w:p>
    <w:p w14:paraId="1C53728D">
      <w:pPr>
        <w:pStyle w:val="16"/>
        <w:numPr>
          <w:ilvl w:val="0"/>
          <w:numId w:val="1"/>
        </w:num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影响就业竞争，专业门槛提高使未来护理专业就业竞争更激烈。
</w:t>
      </w:r>
    </w:p>
    <w:p w14:paraId="22C98593">
      <w:pPr>
        <w:pStyle w:val="16"/>
        <w:numPr>
          <w:ilvl w:val="0"/>
          <w:numId w:val="1"/>
        </w:num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提升社会地位，对专业质量的重视有望提升护理职业的社会地位，吸引更多优秀人才。
</w:t>
      </w:r>
    </w:p>
    <w:p w14:paraId="185E5F41">
      <w:pPr>
        <w:pStyle w:val="16"/>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需要强调的是，对“国控专业”的解读并非指该专业人才培养供大于求，而是由于人才需求的高标准，对人才培养提出了更高要求，最重要的两点是本科护理人才需求增加和高素质医学人才需求增加。
</w:t>
      </w:r>
    </w:p>
    <w:p w14:paraId="425D61DD">
      <w:pPr>
        <w:pStyle w:val="3"/>
        <w:spacing w:line="360" w:lineRule="auto"/>
        <w:ind w:firstLine="482" w:firstLineChars="200"/>
        <w:rPr>
          <w:rFonts w:hint="eastAsia" w:ascii="宋体" w:hAnsi="宋体" w:eastAsia="宋体" w:cs="宋体"/>
          <w:sz w:val="24"/>
          <w:szCs w:val="24"/>
        </w:rPr>
      </w:pPr>
      <w:r>
        <w:rPr>
          <w:rFonts w:hint="eastAsia" w:ascii="宋体" w:hAnsi="宋体" w:eastAsia="宋体" w:cs="宋体"/>
          <w:sz w:val="24"/>
          <w:szCs w:val="24"/>
        </w:rPr>
        <w:t>二、试点项目需求精准分析
</w:t>
      </w:r>
    </w:p>
    <w:p w14:paraId="44481023">
      <w:pPr>
        <w:pStyle w:val="16"/>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人才培养首先要满足本地行业需求，上海护理行业需求是我们分析的重点。上海在落实 “健康中国” 战略过程中，生命健康是 “3+6” 新型产业体系中的重点产业。随着上海人民群众对高质量医疗服务需求不断增长、老龄化进程逐步加快，我市对护理人才的需求不仅在量上持续增加，而且呈现多样化、层次化、精准专业化的特点。
</w:t>
      </w:r>
    </w:p>
    <w:p w14:paraId="54D5AA31">
      <w:pPr>
        <w:pStyle w:val="16"/>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上海自 2018 年起开展亚洲医学中心建设，建设了一批高水平医院，发展了一批高水平临床专科医疗，但紧缺与之匹配的 “临床专科护士”。“临床专科护士”（Clinical Nurse Specialist，CNS）是指在某临床护理领域中具有强大理论知识、精湛实践技能，且能向患者直接提供高质量护理服务的护士。
</w:t>
      </w:r>
    </w:p>
    <w:p w14:paraId="3E0FF391">
      <w:pPr>
        <w:pStyle w:val="16"/>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《全国护理事业发展规划 (2021-2025 年)》《上海市卫生健康发展 “十四五” 规划》中均提到重点加强危重症、急诊、手术室、麻醉等领域或方向的 “临床专科护士” 人才培养。在国家卫健委支持下，我国专科护理已在危重症（ICU）、手术室、急诊、器官移植、肿瘤、造口、糖尿病等多个领域发展，但仍存在准入标准不统一、课程设置欠规范、师资力量相对薄弱等问题。国家卫健委在进一步加强医疗机构护理工作的通知中强调，医疗机构要根据功能定位和任务要求，结合医学技术发展和患者护理需求，加强护士专科护理能力建设。
</w:t>
      </w:r>
    </w:p>
    <w:p w14:paraId="5B83A4D9">
      <w:pPr>
        <w:pStyle w:val="16"/>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目前具有专科护士资质的护理人员在医院参与的工作更侧重于专科临床实践，与职业类院校强调实践能力培养相一致。由于我国现阶段 “临床专科护士” 培养、考核和认证主要针对职后护士，要求有 5 年以上医院工作经历，由中华护理学会、上海市护理学会等专门机构培训和发证，尚未有在院校前置课程来培养 “临床专科护士” 方向的模式，因此目前培养出的临床专科护士数量远未满足上海医药卫生高质量发展的实际需求。
</w:t>
      </w:r>
    </w:p>
    <w:p w14:paraId="2FF22115">
      <w:pPr>
        <w:pStyle w:val="16"/>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我们对上海 26 所医院（包括 18 所三级综合医院、4 所二级综合医院、4 所专科医院）进行调研，结果显示上海市各医疗单位对于护理人才的学历要求最多的是本科，最紧缺的岗位主要集中在急危重症护理、麻醉护理、口腔护理三个领域的应用型 “临床专科护士”。
</w:t>
      </w:r>
    </w:p>
    <w:p w14:paraId="502F4CFE">
      <w:pPr>
        <w:pStyle w:val="16"/>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在调研和访谈中还发现，各大医院期望护理专业人才具备国际化素养的比例较高。其中，了解并掌握国际护理标准、具有实践和护理流程经验，能够在多元文化团队中有效协作，能够运用创新方法解决护理实践中遇到的问题，熟悉并能够使用国际护理领域中的先进技术和工具的比例均高于 80%。这表明用人单位对护理专业人才国际化素养要求较高，在护理学专业 “高本贯通” 一体化设计中加入国际化知识素养和实践技能内容，让应用型本科护理人才具备全方位国际化能力，符合上海这一国际化大都市对各行各业人才培养的期望。
</w:t>
      </w:r>
    </w:p>
    <w:p w14:paraId="562EF5D4">
      <w:pPr>
        <w:pStyle w:val="16"/>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通过调研，我们总结出聚焦急危重症护理、麻醉护理、口腔护理三个领域的应用型本科护理人才需求，通过本科院校与高职校联合培养，上海市护理学会支持，利用高本贯通五年长周期，课程一体化通专结合设计，探索以在院校前置课程来培养专科方向的人才培养模式进行专科方向化培养。学生毕业时既能获得护士执业资格证，又能获得上海市护理学会颁发的专科方向护士课程班证书，</w:t>
      </w:r>
      <w:r>
        <w:rPr>
          <w:rFonts w:hint="eastAsia" w:ascii="宋体" w:hAnsi="宋体" w:eastAsia="宋体" w:cs="宋体"/>
          <w:sz w:val="24"/>
          <w:szCs w:val="24"/>
          <w:lang w:eastAsia="zh-CN"/>
        </w:rPr>
        <w:t>既有</w:t>
      </w:r>
      <w:r>
        <w:rPr>
          <w:rFonts w:hint="eastAsia" w:ascii="宋体" w:hAnsi="宋体" w:eastAsia="宋体" w:cs="宋体"/>
          <w:sz w:val="24"/>
          <w:szCs w:val="24"/>
        </w:rPr>
        <w:t>通专双能力，又有通专双证书，对积极应对上海社会深度老龄化和精准对接上海亚洲医学中心建设的人才需求具有重要意义。
</w:t>
      </w:r>
    </w:p>
    <w:p w14:paraId="1A327CCD">
      <w:pPr>
        <w:pStyle w:val="3"/>
        <w:spacing w:line="360" w:lineRule="auto"/>
        <w:ind w:firstLine="482" w:firstLineChars="200"/>
        <w:rPr>
          <w:rFonts w:hint="eastAsia" w:ascii="宋体" w:hAnsi="宋体" w:eastAsia="宋体" w:cs="宋体"/>
          <w:sz w:val="24"/>
          <w:szCs w:val="24"/>
        </w:rPr>
      </w:pPr>
      <w:r>
        <w:rPr>
          <w:rFonts w:hint="eastAsia" w:ascii="宋体" w:hAnsi="宋体" w:eastAsia="宋体" w:cs="宋体"/>
          <w:sz w:val="24"/>
          <w:szCs w:val="24"/>
        </w:rPr>
        <w:t>三、精准办学能力分析
</w:t>
      </w:r>
    </w:p>
    <w:p w14:paraId="1C474615">
      <w:pPr>
        <w:pStyle w:val="16"/>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项目要落地，需充分结合产教融合优势，精准分析两校、三医院的优势特色。本项目由上海健康医学院和上海南湖职业技术学院两校牵头，联合上海交通大学医学院附属仁济医院、</w:t>
      </w:r>
      <w:r>
        <w:rPr>
          <w:rFonts w:hint="eastAsia" w:ascii="宋体" w:hAnsi="宋体" w:eastAsia="宋体" w:cs="宋体"/>
          <w:sz w:val="24"/>
          <w:szCs w:val="24"/>
          <w:lang w:val="en-US" w:eastAsia="zh-CN"/>
        </w:rPr>
        <w:t>同济大学附属</w:t>
      </w:r>
      <w:r>
        <w:rPr>
          <w:rFonts w:hint="eastAsia" w:ascii="宋体" w:hAnsi="宋体" w:eastAsia="宋体" w:cs="宋体"/>
          <w:sz w:val="24"/>
          <w:szCs w:val="24"/>
        </w:rPr>
        <w:t>上海市第十人民医院、复旦大学附属口腔医院共同参与，同时得到虹口区政府大力支持。
</w:t>
      </w:r>
    </w:p>
    <w:p w14:paraId="46C4A138">
      <w:pPr>
        <w:pStyle w:val="16"/>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本科院校上海健康医学院护理学专业是上海最早通过教育部护理学专业认证的院校，自 2017 年获批上海市属高校应用型本科试点专业，每年为上海各级医院培养大量应用型护理专业人才。据上海市卫生人才网数据显示，上海市每年新入职本科护理应届毕业生 1/3 比例来自上海健康医学院，相比较于复旦、交大等研究型护理本科院校，上健医在培养应用型本科护理人才方面经验丰富。
</w:t>
      </w:r>
    </w:p>
    <w:p w14:paraId="49F62B08">
      <w:pPr>
        <w:pStyle w:val="16"/>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南湖学院通过四年上海市职业教育现代健康产业学院建设、上海市护理现代学徒制建设，具备丰富的护理专业产教融合经验，同时两校作为世赛健康和社会照护赛项主辅基地，在国际化素养培养方面拥有丰富经验和资源。
</w:t>
      </w:r>
    </w:p>
    <w:p w14:paraId="62ADF997">
      <w:pPr>
        <w:pStyle w:val="16"/>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合作的三所三甲医院均具有 “临床专科护士” 培训资质及丰富培训经验。上海交通大学医学院附属仁济医院是中华护理学会麻醉科专科护士培训基地，</w:t>
      </w:r>
      <w:r>
        <w:rPr>
          <w:rFonts w:hint="eastAsia" w:ascii="宋体" w:hAnsi="宋体" w:eastAsia="宋体" w:cs="宋体"/>
          <w:sz w:val="24"/>
          <w:szCs w:val="24"/>
          <w:lang w:val="en-US" w:eastAsia="zh-CN"/>
        </w:rPr>
        <w:t>同济大学附属</w:t>
      </w:r>
      <w:r>
        <w:rPr>
          <w:rFonts w:hint="eastAsia" w:ascii="宋体" w:hAnsi="宋体" w:eastAsia="宋体" w:cs="宋体"/>
          <w:sz w:val="24"/>
          <w:szCs w:val="24"/>
        </w:rPr>
        <w:t>上海市第十人民医院是上海市护理学会急诊 / 重症专科护士培训基地，复旦大学附属口腔医院是中华口腔医学会口腔专业护士培训基地，保证了本科院校 - 高职院校 - 临床医院三方联合培养的效果。
</w:t>
      </w:r>
    </w:p>
    <w:p w14:paraId="6236BBB2">
      <w:pPr>
        <w:pStyle w:val="3"/>
        <w:spacing w:line="360" w:lineRule="auto"/>
        <w:ind w:firstLine="482" w:firstLineChars="200"/>
        <w:rPr>
          <w:rFonts w:hint="eastAsia" w:ascii="宋体" w:hAnsi="宋体" w:eastAsia="宋体" w:cs="宋体"/>
          <w:sz w:val="24"/>
          <w:szCs w:val="24"/>
        </w:rPr>
      </w:pPr>
      <w:r>
        <w:rPr>
          <w:rFonts w:hint="eastAsia" w:ascii="宋体" w:hAnsi="宋体" w:eastAsia="宋体" w:cs="宋体"/>
          <w:sz w:val="24"/>
          <w:szCs w:val="24"/>
        </w:rPr>
        <w:t>四、创新构建一体化举措
</w:t>
      </w:r>
    </w:p>
    <w:p w14:paraId="063C3D26">
      <w:pPr>
        <w:pStyle w:val="16"/>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项目落地，培养方案是关键。我们针对 “临床专科护士” 职前培养，创新构建一体化举措，依托上海健康医学院和上海南湖职业技术学院优质教育资源，选择护理学专业进行 “高本贯通” 试点，双方按照 “专业对接、产教融合、课程衔接、专本一体、协同育人” 总体思路，通过校校合作、校企合作、联合培养，发挥本科院校学科优势、师资优势与高职院校实训和行业企业资源优势，整合专本院校教学资源，以实现 “专本结合，校校协同” 培养为目标，对接高职和本科人才培养计划，探索 “厚基础，强应用” 的应用型人才培养模式，完善护理人才成长渠道，创新发展高等职业教育，为上海市医疗护理事业发展更好地培养和输送本科层次高素质的应用型护理人才。
</w:t>
      </w:r>
    </w:p>
    <w:p w14:paraId="63863339">
      <w:pPr>
        <w:pStyle w:val="16"/>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具体举措如下：
</w:t>
      </w:r>
    </w:p>
    <w:p w14:paraId="1279D035">
      <w:pPr>
        <w:pStyle w:val="16"/>
        <w:numPr>
          <w:ilvl w:val="0"/>
          <w:numId w:val="1"/>
        </w:num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制定高本贯通一体化人培方案。由两校牵头，联合三家医院共同参与，成立高本贯通试点领导小组、工作小组和联合教研室，明确人才培养定位，合理配置教学资源，优化教学结构，顺应行业企业需求，构建模块化课程体系，共同制定人才培养方案。
</w:t>
      </w:r>
    </w:p>
    <w:p w14:paraId="4AB4B0E4">
      <w:pPr>
        <w:pStyle w:val="16"/>
        <w:numPr>
          <w:ilvl w:val="0"/>
          <w:numId w:val="1"/>
        </w:num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构建高本贯通一体化课程体系。对比普通四年制本科课程设置无岗位方向、岗位实践只有普通通科护理实习、人才培养只有通科护士的情况，我们通过医校联合教研室，构建的高本贯通方案精准对接上海护理行业急需的专科护士岗位，设定急危重症护理岗位群、麻醉护理岗位群、口腔护理岗位群三个方向；构建课程体系一体化，将专业核心课程（基础护理、成人护理、母婴护理、儿童护理等课程）高职和本科内容融通，减少交叉重复。
</w:t>
      </w:r>
    </w:p>
    <w:p w14:paraId="03B2498F">
      <w:pPr>
        <w:pStyle w:val="16"/>
        <w:numPr>
          <w:ilvl w:val="0"/>
          <w:numId w:val="1"/>
        </w:num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设计通专实习一体化，学生在同一家合作医院完成通科与专科实习，达到学生能力进阶一体化，前三年掌握通科护理能力，后两年提升专科护理能力，充分发挥长学制优势，强化护理基本技能，提升专科方向能力。我们还突破性地将校内专科方向的前置课程与上海市护理学会专科护士适任班课程相对应，专科方向培养的学生可获得市护理学会课程班认证。
</w:t>
      </w:r>
    </w:p>
    <w:p w14:paraId="7A315DD0">
      <w:pPr>
        <w:pStyle w:val="16"/>
        <w:numPr>
          <w:ilvl w:val="0"/>
          <w:numId w:val="1"/>
        </w:num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打造高本贯通高水平师资队伍。制定师资互聘制度，成立医校联合教研组，组建优秀师资团队，定期开展联合教研活动，围绕试点项目预期目标，联合开展教学改革研究、课程资源建设。
</w:t>
      </w:r>
    </w:p>
    <w:p w14:paraId="2EBECE75">
      <w:pPr>
        <w:pStyle w:val="16"/>
        <w:numPr>
          <w:ilvl w:val="0"/>
          <w:numId w:val="1"/>
        </w:num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形成高本贯通一体化教学条件。健康医学院本科优质资源（如市级重点课题、实习基地等）可向高职培养阶段辐射；南湖职院人才培养产教研融合协同创新基地，也可为开设的高本贯通护理学课程实现资源共享。在此基础上，依托三家合作医院的全国 / 上海市专科护士培训基地，打造医校联合专科护理人才培养产教融合教学实践基地。
</w:t>
      </w:r>
    </w:p>
    <w:p w14:paraId="479970CF">
      <w:pPr>
        <w:pStyle w:val="16"/>
        <w:numPr>
          <w:ilvl w:val="0"/>
          <w:numId w:val="1"/>
        </w:num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共同探索高本贯通医教协同育人模式。通过两校</w:t>
      </w:r>
      <w:r>
        <w:rPr>
          <w:rFonts w:hint="eastAsia" w:ascii="宋体" w:hAnsi="宋体" w:eastAsia="宋体" w:cs="宋体"/>
          <w:sz w:val="24"/>
          <w:szCs w:val="24"/>
          <w:lang w:eastAsia="zh-CN"/>
        </w:rPr>
        <w:t>—</w:t>
      </w:r>
      <w:r>
        <w:rPr>
          <w:rFonts w:hint="eastAsia" w:ascii="宋体" w:hAnsi="宋体" w:eastAsia="宋体" w:cs="宋体"/>
          <w:sz w:val="24"/>
          <w:szCs w:val="24"/>
        </w:rPr>
        <w:t>三医院建立长期紧密合作，共同签订共建合作协议，医院参与学生培养与就业，共同进行培养方案设计、课程建设、教学实施和教学管理、实习实训基地共建等，构建校企合作协同育人机制。</w:t>
      </w:r>
    </w:p>
    <w:p w14:paraId="0DAF14D0">
      <w:pPr>
        <w:pStyle w:val="3"/>
        <w:spacing w:line="360" w:lineRule="auto"/>
        <w:ind w:firstLine="482" w:firstLineChars="200"/>
        <w:rPr>
          <w:rFonts w:hint="eastAsia" w:ascii="宋体" w:hAnsi="宋体" w:eastAsia="宋体" w:cs="宋体"/>
          <w:sz w:val="24"/>
          <w:szCs w:val="24"/>
        </w:rPr>
      </w:pPr>
      <w:r>
        <w:rPr>
          <w:rFonts w:hint="eastAsia" w:ascii="宋体" w:hAnsi="宋体" w:eastAsia="宋体" w:cs="宋体"/>
          <w:sz w:val="24"/>
          <w:szCs w:val="24"/>
        </w:rPr>
        <w:t>五、解决人才培养重难点
</w:t>
      </w:r>
    </w:p>
    <w:p w14:paraId="1D64F2B7">
      <w:pPr>
        <w:pStyle w:val="16"/>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我们分析了高本贯通项目实施过程中的重难点，并采取了以下应对方案：
</w:t>
      </w:r>
    </w:p>
    <w:p w14:paraId="45D5CCBD">
      <w:pPr>
        <w:pStyle w:val="16"/>
        <w:numPr>
          <w:ilvl w:val="0"/>
          <w:numId w:val="1"/>
        </w:num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两校共同进行思政教育一体化设计，包括南湖职院的劳模课堂教育、护士授帽仪式传承以及健康医学院的大学生职业生涯规划教育等；引入合作医院优秀专科护士代表临床护理专家的敬业精神、护理人文素养融入每一个育人模块，达到以德育人，以文化人。
</w:t>
      </w:r>
    </w:p>
    <w:p w14:paraId="19739B0D">
      <w:pPr>
        <w:pStyle w:val="16"/>
        <w:numPr>
          <w:ilvl w:val="0"/>
          <w:numId w:val="1"/>
        </w:num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明确高本贯通一体化培养目标。通过护理人才培养的融通衔接和目标贯通，实现培养目标与医院临床人才需求一体化。通过五年培养周期内对 “通专结合” 进行精细分层递进构建，定制化进行 “临床专科护士” 方向人才培养。将 11 个学期的学习分为 “2”＋“2”＋“2”＋“2+1”＋“2” 五个阶段设计。
</w:t>
      </w:r>
    </w:p>
    <w:p w14:paraId="12F96B31">
      <w:pPr>
        <w:pStyle w:val="16"/>
        <w:numPr>
          <w:ilvl w:val="0"/>
          <w:numId w:val="1"/>
        </w:num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构建高本贯通职业能力提升一体化课程体系。构建两阶段六模块课程体系，实现理论课程前后衔接紧密，实践教学环节贯穿始终。通专实习一体化设计，第三年的通科实习和第五年的专科实习，延续在三家合作医院内进行，比如麻醉护理方向的学生，通科和专科实习均在上海交通大学医学院附属仁济医院进行，符合一体化课程设置，突出专业临床专科优势。
</w:t>
      </w:r>
    </w:p>
    <w:p w14:paraId="62A05D47">
      <w:pPr>
        <w:pStyle w:val="16"/>
        <w:numPr>
          <w:ilvl w:val="0"/>
          <w:numId w:val="1"/>
        </w:num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研制高本贯通转段考核方案。为对接行业需求，保障高质量国际化人才培养，本项目转段考核要求取得上海市计算机一级证书、通过大学英语四级考试以及全国护士执业资格考试。因此我们在人才培养方案里增加了 4 学分的大学英语课程，南湖职院健康护理系也成立护士执业资格考试专项指导小组，以保障学生的四级以及护士资格考证通过率。
</w:t>
      </w:r>
    </w:p>
    <w:p w14:paraId="225BE7B8">
      <w:pPr>
        <w:pStyle w:val="3"/>
        <w:spacing w:line="360" w:lineRule="auto"/>
        <w:ind w:firstLine="482" w:firstLineChars="200"/>
        <w:rPr>
          <w:rFonts w:hint="eastAsia" w:ascii="宋体" w:hAnsi="宋体" w:eastAsia="宋体" w:cs="宋体"/>
          <w:sz w:val="24"/>
          <w:szCs w:val="24"/>
        </w:rPr>
      </w:pPr>
      <w:r>
        <w:rPr>
          <w:rFonts w:hint="eastAsia" w:ascii="宋体" w:hAnsi="宋体" w:eastAsia="宋体" w:cs="宋体"/>
          <w:sz w:val="24"/>
          <w:szCs w:val="24"/>
        </w:rPr>
        <w:t>六、预期效果
</w:t>
      </w:r>
    </w:p>
    <w:p w14:paraId="46CEE46D">
      <w:pPr>
        <w:pStyle w:val="16"/>
        <w:numPr>
          <w:ilvl w:val="0"/>
          <w:numId w:val="1"/>
        </w:num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培养出一批本科层次的优秀护理人才。
</w:t>
      </w:r>
    </w:p>
    <w:p w14:paraId="6B664973">
      <w:pPr>
        <w:pStyle w:val="16"/>
        <w:numPr>
          <w:ilvl w:val="0"/>
          <w:numId w:val="1"/>
        </w:num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打造出高水平的高本贯通护理学专业。
</w:t>
      </w:r>
    </w:p>
    <w:p w14:paraId="23347E94">
      <w:pPr>
        <w:pStyle w:val="16"/>
        <w:numPr>
          <w:ilvl w:val="0"/>
          <w:numId w:val="1"/>
        </w:num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探索出具有临床专科能力的高本贯通护理人才培养模式。
</w:t>
      </w:r>
    </w:p>
    <w:p w14:paraId="6ED111E3">
      <w:pPr>
        <w:pStyle w:val="16"/>
        <w:numPr>
          <w:ilvl w:val="0"/>
          <w:numId w:val="1"/>
        </w:num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培养出高水平的高本贯通护理学专业师资队伍。
</w:t>
      </w: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bullet"/>
      <w:lvlText w:val="•"/>
      <w:lvlJc w:val="left"/>
      <w:pPr>
        <w:ind w:left="288" w:hanging="288"/>
      </w:pPr>
      <w:rPr>
        <w:color w:val="3370FF"/>
        <w:sz w:val="22"/>
        <w:szCs w:val="22"/>
      </w:rPr>
    </w:lvl>
    <w:lvl w:ilvl="1" w:tentative="0">
      <w:start w:val="1"/>
      <w:numFmt w:val="bullet"/>
      <w:lvlText w:val="◦"/>
      <w:lvlJc w:val="left"/>
      <w:pPr>
        <w:ind w:left="720" w:hanging="288"/>
      </w:pPr>
      <w:rPr>
        <w:color w:val="3370FF"/>
        <w:sz w:val="22"/>
        <w:szCs w:val="22"/>
      </w:rPr>
    </w:lvl>
    <w:lvl w:ilvl="2" w:tentative="0">
      <w:start w:val="1"/>
      <w:numFmt w:val="bullet"/>
      <w:lvlText w:val="▪"/>
      <w:lvlJc w:val="left"/>
      <w:pPr>
        <w:ind w:left="1152" w:hanging="288"/>
      </w:pPr>
      <w:rPr>
        <w:color w:val="3370FF"/>
        <w:sz w:val="22"/>
        <w:szCs w:val="22"/>
      </w:rPr>
    </w:lvl>
    <w:lvl w:ilvl="3" w:tentative="0">
      <w:start w:val="1"/>
      <w:numFmt w:val="bullet"/>
      <w:lvlText w:val="•"/>
      <w:lvlJc w:val="left"/>
      <w:pPr>
        <w:ind w:left="1583" w:hanging="288"/>
      </w:pPr>
      <w:rPr>
        <w:color w:val="3370FF"/>
        <w:sz w:val="22"/>
        <w:szCs w:val="22"/>
      </w:rPr>
    </w:lvl>
    <w:lvl w:ilvl="4" w:tentative="0">
      <w:start w:val="1"/>
      <w:numFmt w:val="bullet"/>
      <w:lvlText w:val="◦"/>
      <w:lvlJc w:val="left"/>
      <w:pPr>
        <w:ind w:left="2015" w:hanging="288"/>
      </w:pPr>
      <w:rPr>
        <w:color w:val="3370FF"/>
        <w:sz w:val="22"/>
        <w:szCs w:val="22"/>
      </w:rPr>
    </w:lvl>
    <w:lvl w:ilvl="5" w:tentative="0">
      <w:start w:val="1"/>
      <w:numFmt w:val="bullet"/>
      <w:lvlText w:val="▪"/>
      <w:lvlJc w:val="left"/>
      <w:pPr>
        <w:ind w:left="2448" w:hanging="288"/>
      </w:pPr>
      <w:rPr>
        <w:color w:val="3370FF"/>
        <w:sz w:val="22"/>
        <w:szCs w:val="22"/>
      </w:rPr>
    </w:lvl>
    <w:lvl w:ilvl="6" w:tentative="0">
      <w:start w:val="1"/>
      <w:numFmt w:val="bullet"/>
      <w:lvlText w:val="•"/>
      <w:lvlJc w:val="left"/>
      <w:pPr>
        <w:ind w:left="2879" w:hanging="288"/>
      </w:pPr>
      <w:rPr>
        <w:color w:val="3370FF"/>
        <w:sz w:val="22"/>
        <w:szCs w:val="22"/>
      </w:rPr>
    </w:lvl>
    <w:lvl w:ilvl="7" w:tentative="0">
      <w:start w:val="1"/>
      <w:numFmt w:val="bullet"/>
      <w:lvlText w:val="◦"/>
      <w:lvlJc w:val="left"/>
      <w:pPr>
        <w:ind w:left="3312" w:hanging="288"/>
      </w:pPr>
      <w:rPr>
        <w:color w:val="3370FF"/>
        <w:sz w:val="22"/>
        <w:szCs w:val="22"/>
      </w:rPr>
    </w:lvl>
    <w:lvl w:ilvl="8" w:tentative="0">
      <w:start w:val="1"/>
      <w:numFmt w:val="bullet"/>
      <w:lvlText w:val="▪"/>
      <w:lvlJc w:val="left"/>
      <w:pPr>
        <w:ind w:left="3744" w:hanging="288"/>
      </w:pPr>
      <w:rPr>
        <w:color w:val="3370FF"/>
        <w:sz w:val="22"/>
        <w:szCs w:val="22"/>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ompat>
    <w:useFELayout/>
    <w:compatSetting w:name="compatibilityMode" w:uri="http://schemas.microsoft.com/office/word" w:val="15"/>
  </w:compat>
  <w:rsids>
    <w:rsidRoot w:val="00000000"/>
    <w:rsid w:val="10B262A5"/>
    <w:rsid w:val="54041F40"/>
    <w:rsid w:val="5CA21ACA"/>
    <w:rsid w:val="680B73F2"/>
    <w:rsid w:val="76E14457"/>
    <w:rsid w:val="7BBD0AA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paragraph" w:styleId="4">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5">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paragraph" w:styleId="6">
    <w:name w:val="heading 5"/>
    <w:next w:val="1"/>
    <w:qFormat/>
    <w:uiPriority w:val="0"/>
    <w:pPr>
      <w:spacing w:before="240" w:after="120" w:line="288" w:lineRule="auto"/>
      <w:ind w:left="0"/>
      <w:jc w:val="left"/>
      <w:outlineLvl w:val="4"/>
    </w:pPr>
    <w:rPr>
      <w:rFonts w:ascii="Arial" w:hAnsi="Arial" w:eastAsia="等线" w:cs="Arial"/>
      <w:b/>
      <w:bCs/>
      <w:sz w:val="24"/>
      <w:szCs w:val="24"/>
    </w:rPr>
  </w:style>
  <w:style w:type="paragraph" w:styleId="7">
    <w:name w:val="heading 6"/>
    <w:next w:val="1"/>
    <w:qFormat/>
    <w:uiPriority w:val="0"/>
    <w:pPr>
      <w:spacing w:before="240" w:after="120" w:line="288" w:lineRule="auto"/>
      <w:ind w:left="0"/>
      <w:jc w:val="left"/>
      <w:outlineLvl w:val="5"/>
    </w:pPr>
    <w:rPr>
      <w:rFonts w:ascii="Arial" w:hAnsi="Arial" w:eastAsia="等线" w:cs="Arial"/>
      <w:b/>
      <w:bCs/>
      <w:sz w:val="24"/>
      <w:szCs w:val="24"/>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8">
    <w:name w:val="footnote text"/>
    <w:link w:val="15"/>
    <w:semiHidden/>
    <w:unhideWhenUsed/>
    <w:uiPriority w:val="99"/>
    <w:pPr>
      <w:spacing w:after="0" w:line="240" w:lineRule="auto"/>
    </w:pPr>
    <w:rPr>
      <w:sz w:val="20"/>
      <w:szCs w:val="20"/>
    </w:rPr>
  </w:style>
  <w:style w:type="paragraph" w:styleId="9">
    <w:name w:val="Title"/>
    <w:qFormat/>
    <w:uiPriority w:val="0"/>
    <w:pPr>
      <w:spacing w:before="480" w:after="480" w:line="288" w:lineRule="auto"/>
      <w:ind w:left="0"/>
    </w:pPr>
    <w:rPr>
      <w:rFonts w:ascii="Arial" w:hAnsi="Arial" w:eastAsia="等线" w:cs="Arial"/>
      <w:b/>
      <w:bCs/>
      <w:sz w:val="52"/>
      <w:szCs w:val="52"/>
    </w:rPr>
  </w:style>
  <w:style w:type="character" w:styleId="12">
    <w:name w:val="Hyperlink"/>
    <w:unhideWhenUsed/>
    <w:uiPriority w:val="99"/>
    <w:rPr>
      <w:color w:val="0563C1"/>
      <w:u w:val="single"/>
    </w:rPr>
  </w:style>
  <w:style w:type="character" w:styleId="13">
    <w:name w:val="footnote reference"/>
    <w:semiHidden/>
    <w:unhideWhenUsed/>
    <w:qFormat/>
    <w:uiPriority w:val="99"/>
    <w:rPr>
      <w:vertAlign w:val="superscript"/>
    </w:rPr>
  </w:style>
  <w:style w:type="paragraph" w:styleId="14">
    <w:name w:val="List Paragraph"/>
    <w:qFormat/>
    <w:uiPriority w:val="0"/>
    <w:rPr>
      <w:sz w:val="21"/>
      <w:szCs w:val="22"/>
    </w:rPr>
  </w:style>
  <w:style w:type="character" w:customStyle="1" w:styleId="15">
    <w:name w:val="Footnote Text Char"/>
    <w:link w:val="8"/>
    <w:semiHidden/>
    <w:unhideWhenUsed/>
    <w:uiPriority w:val="99"/>
    <w:rPr>
      <w:sz w:val="20"/>
      <w:szCs w:val="20"/>
    </w:rPr>
  </w:style>
  <w:style w:type="paragraph" w:customStyle="1" w:styleId="16">
    <w:name w:val="_Style 13"/>
    <w:uiPriority w:val="0"/>
    <w:pPr>
      <w:spacing w:before="120" w:after="120" w:line="288" w:lineRule="auto"/>
      <w:ind w:left="0"/>
      <w:jc w:val="left"/>
    </w:pPr>
    <w:rPr>
      <w:rFonts w:ascii="Arial" w:hAnsi="Arial" w:eastAsia="等线" w:cs="Arial"/>
      <w:sz w:val="22"/>
      <w:szCs w:val="22"/>
    </w:rPr>
  </w:style>
  <w:style w:type="paragraph" w:customStyle="1" w:styleId="17">
    <w:name w:val="_Style 14"/>
    <w:uiPriority w:val="0"/>
    <w:pPr>
      <w:spacing w:before="120" w:after="120" w:line="288" w:lineRule="auto"/>
      <w:ind w:left="0"/>
      <w:jc w:val="left"/>
    </w:pPr>
    <w:rPr>
      <w:rFonts w:ascii="Arial" w:hAnsi="Arial" w:eastAsia="等线" w:cs="Arial"/>
      <w:color w:val="8F959E"/>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4157</Words>
  <Characters>4222</Characters>
  <TotalTime>20</TotalTime>
  <ScaleCrop>false</ScaleCrop>
  <LinksUpToDate>false</LinksUpToDate>
  <CharactersWithSpaces>4300</CharactersWithSpaces>
  <Application>WPS Office_12.1.0.21171_F1E327BC-269C-435d-A152-05C5408002CA</Application>
</Properties>
</file>

<file path=docProps/core.xml><?xml version="1.0" encoding="utf-8"?>
<cp:coreProperties xmlns:cp="http://schemas.openxmlformats.org/package/2006/metadata/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eyJoZGlkIjoiY2NiOGY0Y2Y5MTFiMDBiYzc4YjYxZDJjY2JiYjdlZWQiLCJ1c2VySWQiOiI0MTIxMDA2ODkifQ==</vt:lpwstr>
  </property>
  <property fmtid="{D5CDD505-2E9C-101B-9397-08002B2CF9AE}" pid="3" name="KSOProductBuildVer">
    <vt:lpwstr>2052-12.1.0.21171</vt:lpwstr>
  </property>
  <property fmtid="{D5CDD505-2E9C-101B-9397-08002B2CF9AE}" pid="4" name="ICV">
    <vt:lpwstr>734E3694D8644AF8B0083312E4A09BD9_12</vt:lpwstr>
  </property>
</Properties>
</file>