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46810">
      <w:pPr>
        <w:pStyle w:val="2"/>
        <w:spacing w:line="36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袁媛护理名师工作室 202</w:t>
      </w: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学</w:t>
      </w:r>
      <w:r>
        <w:rPr>
          <w:rFonts w:hint="eastAsia" w:ascii="宋体" w:hAnsi="宋体" w:eastAsia="宋体" w:cs="宋体"/>
        </w:rPr>
        <w:t>年工作总结</w:t>
      </w:r>
    </w:p>
    <w:p w14:paraId="1DEA8786">
      <w:pPr>
        <w:pStyle w:val="16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4学</w:t>
      </w:r>
      <w:r>
        <w:rPr>
          <w:rFonts w:hint="eastAsia" w:ascii="宋体" w:hAnsi="宋体" w:eastAsia="宋体" w:cs="宋体"/>
          <w:sz w:val="24"/>
          <w:szCs w:val="24"/>
        </w:rPr>
        <w:t>年，袁媛护理名师工作室紧紧围绕年度既定目标，以资源建设、能力提升、人才培养、行业协同为核心，有序推进各项工作，通过五次重点活动落地与常态化建设，全面达成预期成效，现将年度工作情况总结如下：</w:t>
      </w:r>
    </w:p>
    <w:p w14:paraId="53134BF6">
      <w:pPr>
        <w:pStyle w:val="3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一、年度目标全面达成，核心任务成效显著</w:t>
      </w:r>
    </w:p>
    <w:p w14:paraId="0111A5AE">
      <w:pPr>
        <w:pStyle w:val="4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（一）智慧护理教学资源库建设超额完成</w:t>
      </w:r>
    </w:p>
    <w:p w14:paraId="76C7BD41">
      <w:pPr>
        <w:pStyle w:val="16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聚焦儿童护理、基础护理、中医康护适宜技术三大核心课程，联合行业专家与合作医院，系统建成标准化教学资源体系。其中，儿童护理课程完成多媒体教学资源包（含视频、动画、虚拟仿真素材）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基础护理课程形成 15 项标准化操作流程教学视频及虚拟实训平台；中医康护适宜技术课程整合针灸、推拿等数字化教学资源，为智慧护理教学提供了坚实支撑。</w:t>
      </w:r>
    </w:p>
    <w:p w14:paraId="4F53FE8F">
      <w:pPr>
        <w:pStyle w:val="4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（二）技能竞赛与人才培养双向赋能</w:t>
      </w:r>
    </w:p>
    <w:p w14:paraId="65ACAC8A">
      <w:pPr>
        <w:pStyle w:val="16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优化星光计划赛项资源，通过案例拆解、模拟竞赛、企业专家评审等环节，制定完善赛项优化方案，选拔优秀学生进入国赛集训并冲刺国赛。同时，以现代学徒制为基础，融入智慧护理实训内容，成功孵化 2 个校级学生创新创业项目，培养了一批具备数字化技能的复合型护理人才。</w:t>
      </w:r>
    </w:p>
    <w:p w14:paraId="0DD35EB6">
      <w:pPr>
        <w:pStyle w:val="4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（三）教师专业能力实现阶梯式提升</w:t>
      </w:r>
    </w:p>
    <w:p w14:paraId="404129E6">
      <w:pPr>
        <w:pStyle w:val="16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通过科研培训、教学研讨、临床观摩等多元活动，教师综合素养显著增强。全年完成 2 项校级课题立项，形成 2 门课程思政教学设计方案，评选 3 项优秀教学案例；教师科研参与度、临床思维能力、教学转化能力全面提升，"双师型" 团队建设成效凸显。</w:t>
      </w:r>
    </w:p>
    <w:p w14:paraId="56597119">
      <w:pPr>
        <w:pStyle w:val="4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（四）校医协同与行业资源网络持续拓展</w:t>
      </w:r>
    </w:p>
    <w:p w14:paraId="5E62DAD3">
      <w:pPr>
        <w:pStyle w:val="16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与蓝生脑科集团、仁济医院、复旦大学附属华东医院等多家机构建立长期合作关系，每季度开展专家指导、案例共享、教学研讨等活动。拓展跨区域行业资源，获取《专科护理领域护士培训大纲》等资料，，为教学科研提供了有力支持。</w:t>
      </w:r>
    </w:p>
    <w:p w14:paraId="604F05ED">
      <w:pPr>
        <w:pStyle w:val="3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二、重点活动落地见效，特色工作亮点纷呈</w:t>
      </w:r>
    </w:p>
    <w:p w14:paraId="490E3ED1">
      <w:pPr>
        <w:pStyle w:val="4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（一）专项培训强基础，专科护理能力提质</w:t>
      </w:r>
    </w:p>
    <w:p w14:paraId="7211B545">
      <w:pPr>
        <w:pStyle w:val="16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 月组织成员参与糖足康复护理专项培训，通过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线上理论 + 线下实践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 xml:space="preserve">模式，实现成员专业知识从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碎片化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 xml:space="preserve"> 到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体系化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>、实操技能从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基础化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 xml:space="preserve">  到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专科化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 xml:space="preserve"> 的转变。后续编写《糖足康复护理教学手册》，建立老年糖足护理案例库，开设实操工作坊，将培训成果全面转化为教学资源。</w:t>
      </w:r>
    </w:p>
    <w:p w14:paraId="29C50860">
      <w:pPr>
        <w:pStyle w:val="4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（二）临床观摩拓视野，教学实践深度融合</w:t>
      </w:r>
    </w:p>
    <w:p w14:paraId="03851FE0">
      <w:pPr>
        <w:pStyle w:val="16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 月赴蓝生脑科集团学习疑难病例护理个案竞赛，7 月赴仁济医院观摩技能竞赛与案例汇报，成员深入学习脑科疑难病症护理、临床急救技能、游戏化教学等前沿内容。梳理形成《临床案例教学转化手册》《护理技能实战训练指南》，将临床真实案例、实操标准融入日常教学，强化学生临床思维与实战能力。</w:t>
      </w:r>
    </w:p>
    <w:p w14:paraId="1639E449">
      <w:pPr>
        <w:pStyle w:val="4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（三）改革研讨明方向，人才培养模式创新</w:t>
      </w:r>
    </w:p>
    <w:p w14:paraId="0AEDDD67">
      <w:pPr>
        <w:pStyle w:val="16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10 月围绕《智慧康养人才培养全过程改革方案》开展专题教研，明确 "校企协同、数字赋能、服务融教" 三大路径。重构课程体系，新增智能护理设备应用、健康数据解读等模块；深化订单培养模式，完善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临床案例进校园、教学问题进临床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>双向交流机制，推动人才培养与产业需求精准对接。</w:t>
      </w:r>
    </w:p>
    <w:p w14:paraId="4591CAFB">
      <w:pPr>
        <w:pStyle w:val="4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（四）高本贯通探新路，专科人才培养破局</w:t>
      </w:r>
    </w:p>
    <w:p w14:paraId="75FD1CD0">
      <w:pPr>
        <w:pStyle w:val="16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依托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国控专业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 xml:space="preserve"> 政策背景，联合本科院校与三甲医院，创新护理专业高本贯通培养模式。构建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厚基础，强应用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 xml:space="preserve">"的一体化课程体系，设定急危重症、麻醉、口腔护理三个专科方向，实现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通专双能力、通专双证书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>培养目标。建立校校、校企协同育人机制，打造高水平师资队伍与实践基地，为上海医疗护理事业输送本科层次应用型人才。</w:t>
      </w:r>
    </w:p>
    <w:p w14:paraId="63F9B891">
      <w:pPr>
        <w:pStyle w:val="3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三、保障措施扎实有力，支撑体系不断完善</w:t>
      </w:r>
    </w:p>
    <w:p w14:paraId="4CB9B5E4">
      <w:pPr>
        <w:pStyle w:val="4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（一）校企协同机制常态化</w:t>
      </w:r>
    </w:p>
    <w:p w14:paraId="09085F95">
      <w:pPr>
        <w:pStyle w:val="16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每季度邀请企业专家参与资源审核、教学指导与竞赛评审，确保教学内容与行业需求同频共振，全年累计开展专家对接活动 8 次。</w:t>
      </w:r>
    </w:p>
    <w:p w14:paraId="3D8199AA">
      <w:pPr>
        <w:pStyle w:val="4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（二）分工负责落实精细化</w:t>
      </w:r>
    </w:p>
    <w:p w14:paraId="29FDC66C">
      <w:pPr>
        <w:pStyle w:val="16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按资源建设、技能竞赛、教师培养等模块成立专项小组，明确责任人与时间节点，实行项目化管理，保障各项工作高效推进。</w:t>
      </w:r>
    </w:p>
    <w:p w14:paraId="2FEB3B12">
      <w:pPr>
        <w:pStyle w:val="4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（三）动态调整机制灵活化</w:t>
      </w:r>
    </w:p>
    <w:p w14:paraId="3B7A187A">
      <w:pPr>
        <w:pStyle w:val="16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根据政策变化与行业反馈，及时优化活动计划与教学方案，如结合世赛新标准调整备赛内容，针对数字化教学需求更新实训资源，确保工作室工作的针对性与实效性。</w:t>
      </w:r>
    </w:p>
    <w:p w14:paraId="351EAC6C">
      <w:pPr>
        <w:pStyle w:val="3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四、存在不足与改进方向</w:t>
      </w:r>
    </w:p>
    <w:p w14:paraId="7A0E0321">
      <w:pPr>
        <w:pStyle w:val="4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（一）现存不足</w:t>
      </w:r>
    </w:p>
    <w:p w14:paraId="5F97C9E0">
      <w:pPr>
        <w:pStyle w:val="16"/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数字化教学资源的应用深度不足，部分智能实训设备的教学转化效率有待提升；</w:t>
      </w:r>
    </w:p>
    <w:p w14:paraId="2184B1EC">
      <w:pPr>
        <w:pStyle w:val="16"/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跨区域教学合作的常态化开展机制尚未完全成熟，资源共享的覆盖面需进一步扩大；</w:t>
      </w:r>
    </w:p>
    <w:p w14:paraId="32724B53">
      <w:pPr>
        <w:pStyle w:val="16"/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教师科研成果的临床转化力度不够，科研与教学、实践的融合度仍需加强。</w:t>
      </w:r>
    </w:p>
    <w:p w14:paraId="29A4C81C">
      <w:pPr>
        <w:pStyle w:val="4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（二）改进方向</w:t>
      </w:r>
    </w:p>
    <w:p w14:paraId="4191B456">
      <w:pPr>
        <w:pStyle w:val="16"/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深化数字化教学改革，开展智能设备操作专项培训，推动虚拟实训平台与课堂教学深度融合，202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5学</w:t>
      </w:r>
      <w:r>
        <w:rPr>
          <w:rFonts w:hint="eastAsia" w:ascii="宋体" w:hAnsi="宋体" w:eastAsia="宋体" w:cs="宋体"/>
          <w:sz w:val="24"/>
          <w:szCs w:val="24"/>
        </w:rPr>
        <w:t>年计划完成 3 门核心课程的数字化教学案例全覆盖；</w:t>
      </w:r>
    </w:p>
    <w:p w14:paraId="498B6970">
      <w:pPr>
        <w:pStyle w:val="16"/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完善跨区域协同机制，与合作单位共建线上案例共享平台，每半年举办一次全国性教学交流研讨会，拓宽资源共享渠道；</w:t>
      </w:r>
    </w:p>
    <w:p w14:paraId="650208BD">
      <w:pPr>
        <w:pStyle w:val="16"/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强化科研与实践对接，建立科研成果教学转化评价体系，鼓励教师联合临床专家开展应用型课题研究，力争 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5学</w:t>
      </w:r>
      <w:r>
        <w:rPr>
          <w:rFonts w:hint="eastAsia" w:ascii="宋体" w:hAnsi="宋体" w:eastAsia="宋体" w:cs="宋体"/>
          <w:sz w:val="24"/>
          <w:szCs w:val="24"/>
        </w:rPr>
        <w:t>年新增 3 项校企合作科研项目。</w:t>
      </w:r>
    </w:p>
    <w:p w14:paraId="6B060E4F">
      <w:pPr>
        <w:pStyle w:val="3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五、下年度工作展望</w:t>
      </w:r>
    </w:p>
    <w:p w14:paraId="3C225682">
      <w:pPr>
        <w:pStyle w:val="16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5学</w:t>
      </w:r>
      <w:r>
        <w:rPr>
          <w:rFonts w:hint="eastAsia" w:ascii="宋体" w:hAnsi="宋体" w:eastAsia="宋体" w:cs="宋体"/>
          <w:sz w:val="24"/>
          <w:szCs w:val="24"/>
        </w:rPr>
        <w:t>年，工作室将继续聚焦 "资源优质化、教学精准化、人才复合型、行业协同化" 目标，重点推进智慧护理资源库升级、高本贯通培养模式深化、教师数字素养提升、校医协同育人机制完善四大任务。持续发挥名师工作室的示范引领作用，以更高标准、更实举措推动护理教育教学改革，为培养适应行业发展需求的高素质护理人才、助力护理事业高质量发展贡献更大力量。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15B12033"/>
    <w:rsid w:val="54887B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2059</Words>
  <Characters>2076</Characters>
  <TotalTime>2</TotalTime>
  <ScaleCrop>false</ScaleCrop>
  <LinksUpToDate>false</LinksUpToDate>
  <CharactersWithSpaces>2126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eyJoZGlkIjoiY2NiOGY0Y2Y5MTFiMDBiYzc4YjYxZDJjY2JiYjdlZWQiLCJ1c2VySWQiOiI0MTIxMDA2ODkifQ==</vt:lpwstr>
  </property>
  <property fmtid="{D5CDD505-2E9C-101B-9397-08002B2CF9AE}" pid="3" name="KSOProductBuildVer">
    <vt:lpwstr>2052-12.1.0.23125</vt:lpwstr>
  </property>
  <property fmtid="{D5CDD505-2E9C-101B-9397-08002B2CF9AE}" pid="4" name="ICV">
    <vt:lpwstr>04B18A933ABF4783985A57E9997F0C1F_12</vt:lpwstr>
  </property>
</Properties>
</file>