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80B79">
      <w:pPr>
        <w:pStyle w:val="2"/>
      </w:pPr>
      <w:r>
        <w:t>袁媛名师工作室成员参加适老化康复护理专科技能（糖足康复护理）培训学习</w:t>
      </w:r>
      <w:r>
        <w:rPr>
          <w:rFonts w:hint="eastAsia"/>
          <w:lang w:val="en-US" w:eastAsia="zh-CN"/>
        </w:rPr>
        <w:t>交流</w:t>
      </w:r>
      <w:r>
        <w:t>总结</w:t>
      </w:r>
    </w:p>
    <w:p w14:paraId="004A2229">
      <w:pPr>
        <w:pStyle w:val="16"/>
        <w:ind w:firstLine="440" w:firstLineChars="200"/>
      </w:pPr>
      <w:r>
        <w:t>为进一步提升工作室成员在老年糖尿病足康复护理领域的专业水平，夯实糖足专科护理基础，优化护理专业教学思路，助力培养符合银发经济发展需求的高素质护理人才，袁媛名师工作室于 2025 年 1 月 20 日组织成员参与中国老年保健协会主办的</w:t>
      </w:r>
      <w:r>
        <w:rPr>
          <w:rFonts w:hint="eastAsia"/>
          <w:lang w:eastAsia="zh-CN"/>
        </w:rPr>
        <w:t>，</w:t>
      </w:r>
      <w:r>
        <w:rPr>
          <w:rFonts w:hint="eastAsia"/>
          <w:lang w:val="en-US" w:eastAsia="zh-CN"/>
        </w:rPr>
        <w:t>由白姣姣技能大师主讲的</w:t>
      </w:r>
      <w:r>
        <w:t>适老化康复护理专科技能（糖足康复护理）培训班。本次培训融合线上理论授课与线下实践工作坊，内容聚焦糖足护理前沿知识与实操技能，成员们在专业能力、教学认知、行业视野等方面收获颇丰，现将学习成果总结如下：</w:t>
      </w:r>
    </w:p>
    <w:p w14:paraId="3F50A491">
      <w:pPr>
        <w:pStyle w:val="3"/>
      </w:pPr>
      <w:r>
        <w:t>一、专业知识与技能体系化提升</w:t>
      </w:r>
    </w:p>
    <w:p w14:paraId="2C35EAA9">
      <w:pPr>
        <w:pStyle w:val="16"/>
        <w:ind w:firstLine="440" w:firstLineChars="200"/>
      </w:pPr>
      <w:r>
        <w:t>本次培训围绕糖尿病足康复护理构建了全面且深入的知识体系，授课专家均为国内老年医学、康复医学、中医学及老年护理领域的权威人士，通过理论讲解、案例分析、实操演示等形式，帮助成员系统掌握糖足护理核心内容。</w:t>
      </w:r>
    </w:p>
    <w:p w14:paraId="347CB499">
      <w:pPr>
        <w:pStyle w:val="16"/>
        <w:ind w:firstLine="440" w:firstLineChars="200"/>
      </w:pPr>
      <w:r>
        <w:t>在理论学习阶段，成员们深入理解糖尿病足的发病机制、流行病学特征及危害，熟练掌握糖足的分类分期、评估诊断流程（含病史采集、体格检查、实验室与影像学检查），以及血糖控制、抗感染、微循环改善等全身治疗策略；在复旦大学附属华东医院的线下工作坊实践中，通过沉浸式操作，精准掌握糖足创面清创、溃疡护理、足部清洁保湿、减压技术等实操技能，同时学习了糖足专科门诊的规范运营模式，包括患者门诊护理治疗与健康教育的标准化流程。此外，培训还涵盖糖足并发症（如溃疡、感染、坏疽）的预防与应急处理，以及最新治疗技术与临床研究成果，使成员的糖足护理知识从 “碎片化” 转向 “体系化”，实操技能从 “基础化” 迈向 “专科化”。</w:t>
      </w:r>
    </w:p>
    <w:p w14:paraId="7E8DE27F">
      <w:pPr>
        <w:pStyle w:val="3"/>
      </w:pPr>
      <w:r>
        <w:t>二、临床思维与教学转化能力强化</w:t>
      </w:r>
    </w:p>
    <w:p w14:paraId="0922C4E4">
      <w:pPr>
        <w:pStyle w:val="16"/>
        <w:ind w:firstLine="440" w:firstLineChars="200"/>
      </w:pPr>
      <w:r>
        <w:t>培训过程中大量的糖足典型病例分析与实践操作环节，为成员搭建了 “理论联系临床” 的桥梁，有效强化了临床思维与教学转化能力。</w:t>
      </w:r>
    </w:p>
    <w:p w14:paraId="082A5CFC">
      <w:pPr>
        <w:pStyle w:val="16"/>
        <w:ind w:firstLine="440" w:firstLineChars="200"/>
      </w:pPr>
      <w:r>
        <w:t>在病例讨论环节，针对老年糖足患者常伴随的多重基础疾病（如高血压、冠心病、认知障碍），成员们学会从 “生理 - 心理 - 社会” 多维度评估患者需求，综合运用循证护理理念制定个性化护理方案，例如针对合并吞咽障碍的老年糖足患者，如何协调营养支持与创面康复的优先级；在模拟教学演练中，成员们将培训所学的糖足筛查流程、患者教育内容（如足部自我护理方法、饮食与运动指导）转化为教学案例，梳理出适合护理专业学生的教学逻辑 —— 从 “病例导入” 激发学习兴趣，到 “知识拆解” 讲解核心要点，再到 “实操模拟” 强化技能掌握，形成 “临床案例 - 教学内容 - 技能考核” 的完整转化链条。这种能力的提升，为工作室后续优化老年护理课程设计、培养学生临床思维奠定了坚实基础。</w:t>
      </w:r>
    </w:p>
    <w:p w14:paraId="03490A42">
      <w:pPr>
        <w:pStyle w:val="3"/>
      </w:pPr>
      <w:r>
        <w:t>三、适老化护理理念与创新意识更新</w:t>
      </w:r>
    </w:p>
    <w:p w14:paraId="6B732EA4">
      <w:pPr>
        <w:pStyle w:val="16"/>
        <w:ind w:firstLine="440" w:firstLineChars="200"/>
      </w:pPr>
      <w:r>
        <w:t>本次培训紧扣国家 “发展银发经济”“完善老年健康服务体系” 的政策导向，使成员对适老化康复护理的重要性与创新性有了全新认知。</w:t>
      </w:r>
    </w:p>
    <w:p w14:paraId="5EA2F89F">
      <w:pPr>
        <w:pStyle w:val="16"/>
        <w:ind w:firstLine="440" w:firstLineChars="200"/>
      </w:pPr>
      <w:r>
        <w:t>培训中强调 “以老年患者需求为导向” 的护理理念，例如在糖足康复护理中，需充分考虑老年人的行动能力、认知水平，优化护理操作的便捷性与安全性（如使用防滑护理垫、简化足部检查步骤）；同时，专家分享了多学科协作（MDT）在糖足护理中的应用案例 —— 通过老年科、康复科、中医科、营养科等多科室联动，为患者提供 “一站式” 康复方案，这种创新模式启发成员思考如何在教学中融入 “跨学科协作” 理念，培养学生的团队协作意识。此外，培训提及的 “主动健康管理” 策略（如指导老年人建立足部自我监测习惯），也促使成员更新教学思路，在课程中增加 “老年健康促进” 模块，助力学生树立 “预防优于治疗” 的适老化护理观念。</w:t>
      </w:r>
    </w:p>
    <w:p w14:paraId="486666C6">
      <w:pPr>
        <w:pStyle w:val="3"/>
      </w:pPr>
      <w:r>
        <w:t>四、交流合作与资源网络拓展</w:t>
      </w:r>
    </w:p>
    <w:p w14:paraId="395015C1">
      <w:pPr>
        <w:pStyle w:val="16"/>
        <w:ind w:firstLine="440" w:firstLineChars="200"/>
      </w:pPr>
      <w:r>
        <w:t>培训期间，工作室成员与来自全国康复医院、综合医院老年医学科、老年护理院的护理骨干，以及复旦大学附属华东医院的临床带教老师展开深入交流。</w:t>
      </w:r>
    </w:p>
    <w:p w14:paraId="112826A0">
      <w:pPr>
        <w:pStyle w:val="16"/>
        <w:ind w:firstLine="440" w:firstLineChars="200"/>
      </w:pPr>
      <w:r>
        <w:t>在小组实践与案例研讨中，成员们分享各自所在单位的糖足护理经验（如社区老年糖足患者的居家护理模式、二级医院糖足创面处理流程），同时学习其他地区的先进做法（如一线城市三甲医院的糖足专科门诊信息化管理系统）；通过与中国老年保健协会康复护理专业委员会的沟通，获取了《专科护理领域护士培训大纲》《适老化医疗健康服务体系建设指南》等权威资料，为工作室后续开展专项教学、科研提供了政策与资源支持。此外，成员们还与部分参训单位达成初步合作意向，计划后续开展糖足护理案例共享、教学经验交流等活动，进一步拓宽了工作室的行业资源网络。</w:t>
      </w:r>
    </w:p>
    <w:p w14:paraId="381F937D">
      <w:pPr>
        <w:pStyle w:val="3"/>
      </w:pPr>
      <w:r>
        <w:t>五、后续转化与长效发展规划</w:t>
      </w:r>
    </w:p>
    <w:p w14:paraId="64D9251A">
      <w:pPr>
        <w:pStyle w:val="16"/>
        <w:ind w:firstLine="440" w:firstLineChars="200"/>
      </w:pPr>
      <w:bookmarkStart w:id="0" w:name="_GoBack"/>
      <w:r>
        <w:t>为将培训成果切实转化为教学与实践效能，工作室制定以下长效规划：</w:t>
      </w:r>
    </w:p>
    <w:p w14:paraId="446778AD">
      <w:pPr>
        <w:pStyle w:val="16"/>
        <w:numPr>
          <w:ilvl w:val="0"/>
          <w:numId w:val="1"/>
        </w:numPr>
      </w:pPr>
      <w:r>
        <w:rPr>
          <w:b/>
          <w:bCs/>
        </w:rPr>
        <w:t>成果分享与教学应用</w:t>
      </w:r>
      <w:r>
        <w:t>：组织培训成员开展内部成果分享会，梳理培训核心知识点与实操技能要点，编写《糖足康复护理教学手册》，并将其融入护理专业《老年护理》《专科护理技术》等课程，开设 “糖足护理实操工作坊”，面向学生开展专项技能培训；</w:t>
      </w:r>
    </w:p>
    <w:p w14:paraId="4DE6C545">
      <w:pPr>
        <w:pStyle w:val="16"/>
        <w:numPr>
          <w:ilvl w:val="0"/>
          <w:numId w:val="1"/>
        </w:numPr>
      </w:pPr>
      <w:r>
        <w:rPr>
          <w:b/>
          <w:bCs/>
        </w:rPr>
        <w:t>案例库与教学资源建设</w:t>
      </w:r>
      <w:r>
        <w:t>：收集培训期间的典型糖足病例，结合临床实际案例，建立 “老年糖足护理案例库”，包含病例资料、护理方案、实操视频等内容，为教学与科研提供素材；</w:t>
      </w:r>
    </w:p>
    <w:p w14:paraId="7D1E31EE">
      <w:pPr>
        <w:pStyle w:val="16"/>
        <w:numPr>
          <w:ilvl w:val="0"/>
          <w:numId w:val="1"/>
        </w:numPr>
      </w:pPr>
      <w:r>
        <w:rPr>
          <w:b/>
          <w:bCs/>
        </w:rPr>
        <w:t>行业合作深化</w:t>
      </w:r>
      <w:r>
        <w:t>：与复旦大学附属华东医院适老化康复护理培训示范基地建立长期联系，邀请临床专家参与工作室教学指导，组织学生前往基地开展见习活动；同时，联合其他参训单位开展 “糖足护理教学研讨会”，推动跨区域护理教育资源共享；</w:t>
      </w:r>
    </w:p>
    <w:p w14:paraId="5DE16E93">
      <w:pPr>
        <w:pStyle w:val="16"/>
        <w:numPr>
          <w:ilvl w:val="0"/>
          <w:numId w:val="1"/>
        </w:numPr>
      </w:pPr>
      <w:r>
        <w:rPr>
          <w:b/>
          <w:bCs/>
        </w:rPr>
        <w:t>持续学习与能力提升</w:t>
      </w:r>
      <w:r>
        <w:t>：跟踪糖足护理领域的最新研究进展与政策动态，定期组织工作室成员参加相关学术会议与专项培训，确保专业知识与技能始终与行业发展同步，为培养适应银发经济需求的高素质护理人才持续赋能。</w:t>
      </w:r>
    </w:p>
    <w:bookmarkEnd w:id="0"/>
    <w:p w14:paraId="6FDCD71F">
      <w:pPr>
        <w:pStyle w:val="16"/>
        <w:numPr>
          <w:ilvl w:val="0"/>
          <w:numId w:val="0"/>
        </w:numPr>
        <w:ind w:leftChars="0"/>
        <w:rPr>
          <w:rFonts w:hint="eastAsia" w:eastAsia="等线"/>
          <w:lang w:eastAsia="zh-CN"/>
        </w:rPr>
      </w:pPr>
      <w:r>
        <w:rPr>
          <w:rFonts w:hint="eastAsia" w:eastAsia="等线"/>
          <w:lang w:eastAsia="zh-CN"/>
        </w:rPr>
        <w:drawing>
          <wp:inline distT="0" distB="0" distL="114300" distR="114300">
            <wp:extent cx="5730875" cy="4296410"/>
            <wp:effectExtent l="0" t="0" r="9525" b="8890"/>
            <wp:docPr id="1"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viewed illustration"/>
                    <pic:cNvPicPr>
                      <a:picLocks noChangeAspect="1"/>
                    </pic:cNvPicPr>
                  </pic:nvPicPr>
                  <pic:blipFill>
                    <a:blip r:embed="rId4"/>
                    <a:stretch>
                      <a:fillRect/>
                    </a:stretch>
                  </pic:blipFill>
                  <pic:spPr>
                    <a:xfrm>
                      <a:off x="0" y="0"/>
                      <a:ext cx="5730875" cy="4296410"/>
                    </a:xfrm>
                    <a:prstGeom prst="rect">
                      <a:avLst/>
                    </a:prstGeom>
                  </pic:spPr>
                </pic:pic>
              </a:graphicData>
            </a:graphic>
          </wp:inline>
        </w:drawing>
      </w:r>
    </w:p>
    <w:p w14:paraId="73288171">
      <w:pPr>
        <w:pStyle w:val="16"/>
        <w:numPr>
          <w:ilvl w:val="0"/>
          <w:numId w:val="0"/>
        </w:numPr>
        <w:ind w:leftChars="0"/>
        <w:rPr>
          <w:rFonts w:hint="eastAsia" w:eastAsia="等线"/>
          <w:lang w:eastAsia="zh-CN"/>
        </w:rPr>
      </w:pPr>
      <w:r>
        <w:rPr>
          <w:rFonts w:hint="eastAsia" w:eastAsia="等线"/>
          <w:lang w:eastAsia="zh-CN"/>
        </w:rPr>
        <w:drawing>
          <wp:inline distT="0" distB="0" distL="114300" distR="114300">
            <wp:extent cx="5689600" cy="4267200"/>
            <wp:effectExtent l="0" t="0" r="0" b="0"/>
            <wp:docPr id="5"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viewed illustration"/>
                    <pic:cNvPicPr>
                      <a:picLocks noChangeAspect="1"/>
                    </pic:cNvPicPr>
                  </pic:nvPicPr>
                  <pic:blipFill>
                    <a:blip r:embed="rId5"/>
                    <a:stretch>
                      <a:fillRect/>
                    </a:stretch>
                  </pic:blipFill>
                  <pic:spPr>
                    <a:xfrm>
                      <a:off x="0" y="0"/>
                      <a:ext cx="5689600" cy="4267200"/>
                    </a:xfrm>
                    <a:prstGeom prst="rect">
                      <a:avLst/>
                    </a:prstGeom>
                  </pic:spPr>
                </pic:pic>
              </a:graphicData>
            </a:graphic>
          </wp:inline>
        </w:drawing>
      </w:r>
    </w:p>
    <w:p w14:paraId="015BC116">
      <w:pPr>
        <w:pStyle w:val="16"/>
        <w:numPr>
          <w:ilvl w:val="0"/>
          <w:numId w:val="0"/>
        </w:numPr>
        <w:ind w:leftChars="0"/>
        <w:rPr>
          <w:rFonts w:hint="eastAsia" w:eastAsia="等线"/>
          <w:lang w:eastAsia="zh-CN"/>
        </w:rPr>
      </w:pPr>
      <w:r>
        <w:rPr>
          <w:rFonts w:hint="eastAsia" w:eastAsia="等线"/>
          <w:lang w:eastAsia="zh-CN"/>
        </w:rPr>
        <w:drawing>
          <wp:inline distT="0" distB="0" distL="114300" distR="114300">
            <wp:extent cx="5689600" cy="4267200"/>
            <wp:effectExtent l="0" t="0" r="0" b="0"/>
            <wp:docPr id="2"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iewed illustration"/>
                    <pic:cNvPicPr>
                      <a:picLocks noChangeAspect="1"/>
                    </pic:cNvPicPr>
                  </pic:nvPicPr>
                  <pic:blipFill>
                    <a:blip r:embed="rId6"/>
                    <a:stretch>
                      <a:fillRect/>
                    </a:stretch>
                  </pic:blipFill>
                  <pic:spPr>
                    <a:xfrm>
                      <a:off x="0" y="0"/>
                      <a:ext cx="5689600" cy="4267200"/>
                    </a:xfrm>
                    <a:prstGeom prst="rect">
                      <a:avLst/>
                    </a:prstGeom>
                  </pic:spPr>
                </pic:pic>
              </a:graphicData>
            </a:graphic>
          </wp:inline>
        </w:drawing>
      </w:r>
      <w:r>
        <w:rPr>
          <w:rFonts w:hint="eastAsia" w:eastAsia="等线"/>
          <w:lang w:eastAsia="zh-CN"/>
        </w:rPr>
        <w:drawing>
          <wp:inline distT="0" distB="0" distL="114300" distR="114300">
            <wp:extent cx="5689600" cy="4267200"/>
            <wp:effectExtent l="0" t="0" r="0" b="0"/>
            <wp:docPr id="3"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viewed illustration"/>
                    <pic:cNvPicPr>
                      <a:picLocks noChangeAspect="1"/>
                    </pic:cNvPicPr>
                  </pic:nvPicPr>
                  <pic:blipFill>
                    <a:blip r:embed="rId7"/>
                    <a:stretch>
                      <a:fillRect/>
                    </a:stretch>
                  </pic:blipFill>
                  <pic:spPr>
                    <a:xfrm>
                      <a:off x="0" y="0"/>
                      <a:ext cx="5689600" cy="4267200"/>
                    </a:xfrm>
                    <a:prstGeom prst="rect">
                      <a:avLst/>
                    </a:prstGeom>
                  </pic:spPr>
                </pic:pic>
              </a:graphicData>
            </a:graphic>
          </wp:inline>
        </w:drawing>
      </w:r>
      <w:r>
        <w:rPr>
          <w:rFonts w:hint="eastAsia" w:eastAsia="等线"/>
          <w:lang w:eastAsia="zh-CN"/>
        </w:rPr>
        <w:drawing>
          <wp:inline distT="0" distB="0" distL="114300" distR="114300">
            <wp:extent cx="5709285" cy="4282440"/>
            <wp:effectExtent l="0" t="0" r="5715" b="10160"/>
            <wp:docPr id="4"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viewed illustration"/>
                    <pic:cNvPicPr>
                      <a:picLocks noChangeAspect="1"/>
                    </pic:cNvPicPr>
                  </pic:nvPicPr>
                  <pic:blipFill>
                    <a:blip r:embed="rId8"/>
                    <a:stretch>
                      <a:fillRect/>
                    </a:stretch>
                  </pic:blipFill>
                  <pic:spPr>
                    <a:xfrm>
                      <a:off x="0" y="0"/>
                      <a:ext cx="5709285" cy="4282440"/>
                    </a:xfrm>
                    <a:prstGeom prst="rect">
                      <a:avLst/>
                    </a:prstGeom>
                  </pic:spPr>
                </pic:pic>
              </a:graphicData>
            </a:graphic>
          </wp:inline>
        </w:drawing>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288" w:hanging="288"/>
      </w:pPr>
      <w:rPr>
        <w:color w:val="3370FF"/>
        <w:sz w:val="22"/>
        <w:szCs w:val="22"/>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26D9277C"/>
    <w:rsid w:val="36216B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footnote text"/>
    <w:link w:val="15"/>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uiPriority w:val="99"/>
    <w:rPr>
      <w:color w:val="0563C1"/>
      <w:u w:val="single"/>
    </w:rPr>
  </w:style>
  <w:style w:type="character" w:styleId="13">
    <w:name w:val="footnote reference"/>
    <w:semiHidden/>
    <w:unhideWhenUsed/>
    <w:uiPriority w:val="99"/>
    <w:rPr>
      <w:vertAlign w:val="superscript"/>
    </w:rPr>
  </w:style>
  <w:style w:type="paragraph" w:styleId="14">
    <w:name w:val="List Paragraph"/>
    <w:qFormat/>
    <w:uiPriority w:val="0"/>
    <w:rPr>
      <w:rFonts w:asciiTheme="minorHAnsi" w:hAnsiTheme="minorHAnsi" w:eastAsiaTheme="minorEastAsia" w:cstheme="minorBidi"/>
      <w:sz w:val="21"/>
      <w:szCs w:val="22"/>
    </w:rPr>
  </w:style>
  <w:style w:type="character" w:customStyle="1" w:styleId="15">
    <w:name w:val="Footnote Text Char"/>
    <w:link w:val="8"/>
    <w:semiHidden/>
    <w:unhideWhenUsed/>
    <w:qFormat/>
    <w:uiPriority w:val="99"/>
    <w:rPr>
      <w:sz w:val="20"/>
      <w:szCs w:val="20"/>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 w:type="paragraph" w:customStyle="1" w:styleId="17">
    <w:name w:val="_Style 14"/>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2167</Words>
  <Characters>2176</Characters>
  <TotalTime>7</TotalTime>
  <ScaleCrop>false</ScaleCrop>
  <LinksUpToDate>false</LinksUpToDate>
  <CharactersWithSpaces>2229</CharactersWithSpaces>
  <Application>WPS Office_12.1.0.22529_F1E327BC-269C-435d-A152-05C5408002CA</Application>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eyJoZGlkIjoiNGUzNzUyMDJiNzdmMTFjZjcxNzc4YjZhY2I0Yzg1ZWMiLCJ1c2VySWQiOiI0MTIxMDA2ODkifQ==</vt:lpwstr>
  </property>
  <property fmtid="{D5CDD505-2E9C-101B-9397-08002B2CF9AE}" pid="3" name="KSOProductBuildVer">
    <vt:lpwstr>2052-12.1.0.22529</vt:lpwstr>
  </property>
  <property fmtid="{D5CDD505-2E9C-101B-9397-08002B2CF9AE}" pid="4" name="ICV">
    <vt:lpwstr>EC1AC98CE04E402BAFFF5F63189A04AF_12</vt:lpwstr>
  </property>
</Properties>
</file>