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F6696">
      <w:pPr>
        <w:pStyle w:val="2"/>
        <w:jc w:val="center"/>
      </w:pPr>
      <w:r>
        <w:t>袁媛名师工作室虹口区养老机构护理人员失能老年人</w:t>
      </w:r>
      <w:r>
        <w:rPr>
          <w:rFonts w:hint="eastAsia"/>
          <w:lang w:val="en-US" w:eastAsia="zh-CN"/>
        </w:rPr>
        <w:t xml:space="preserve">    </w:t>
      </w:r>
      <w:r>
        <w:t>智慧照护专项培训成果总结</w:t>
      </w:r>
      <w:bookmarkStart w:id="0" w:name="_GoBack"/>
      <w:bookmarkEnd w:id="0"/>
    </w:p>
    <w:p w14:paraId="43DC89D7">
      <w:pPr>
        <w:pStyle w:val="16"/>
        <w:ind w:firstLine="440" w:firstLineChars="200"/>
      </w:pPr>
      <w:r>
        <w:t>为响应虹口区养老服务行业提质增效需求，提升区域内养老机构护理人员失能老人智慧照护实操能力，推动智慧康养技术与养老照护岗位深度融合，袁媛名师工作室主持人牵头、全体学员为核心师资，面向虹口区养老机构护理人员开展为期 3 天的失能老年人智慧照护专项培训。培训聚焦智慧辅具应用、岗位实操规范、人文照护融合三大核心，实现了行业技能提升与教学实践检验的双向赋能，具体总结如下：</w:t>
      </w:r>
    </w:p>
    <w:p w14:paraId="68E3FDB9">
      <w:pPr>
        <w:pStyle w:val="3"/>
        <w:ind w:firstLine="640" w:firstLineChars="200"/>
      </w:pPr>
      <w:r>
        <w:t>一、精准定制课程，锚定养老照护岗位核心需求</w:t>
      </w:r>
    </w:p>
    <w:p w14:paraId="428FFE79">
      <w:pPr>
        <w:pStyle w:val="16"/>
        <w:ind w:firstLine="440" w:firstLineChars="200"/>
      </w:pPr>
      <w:r>
        <w:t>工作室师资团队前期深入虹口区多家养老机构调研，结合失能老人照护高频场景与岗位痛点，量身定制培训课程体系，确保培训内容贴合一线照护实际。</w:t>
      </w:r>
    </w:p>
    <w:p w14:paraId="033C6E5B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聚焦辅具实操刚需</w:t>
      </w:r>
      <w:r>
        <w:t>：针对机构普遍配置的智能护理床、电动移位机等设备，设置</w:t>
      </w:r>
      <w:r>
        <w:rPr>
          <w:b/>
          <w:bCs/>
        </w:rPr>
        <w:t>体位管理</w:t>
      </w:r>
      <w:r>
        <w:t>专项模块，分 “压力性损伤预防体位调整”“不同场景体位转移” 两个子单元，拆解智能辅具操作流程与安全要点，解决护理人员 “会用但不精、能用但不规范” 的问题。</w:t>
      </w:r>
    </w:p>
    <w:p w14:paraId="0C081566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覆盖照护全流程</w:t>
      </w:r>
      <w:r>
        <w:t>：围绕失能老人排泄、清洁两大核心照护场景，设计</w:t>
      </w:r>
      <w:r>
        <w:rPr>
          <w:b/>
          <w:bCs/>
        </w:rPr>
        <w:t>排泄照护</w:t>
      </w:r>
      <w:r>
        <w:t>“如厕辅助”“床上排便” 与</w:t>
      </w:r>
      <w:r>
        <w:rPr>
          <w:b/>
          <w:bCs/>
        </w:rPr>
        <w:t>清洁照护</w:t>
      </w:r>
      <w:r>
        <w:t>“床上洗澡” 等实操课程，同步融入隐私保护、感染防控等岗位必备意识，构建完整照护技能体系。</w:t>
      </w:r>
    </w:p>
    <w:p w14:paraId="3ECF1599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补充人文服务能力</w:t>
      </w:r>
      <w:r>
        <w:t>：增设</w:t>
      </w:r>
      <w:r>
        <w:rPr>
          <w:b/>
          <w:bCs/>
        </w:rPr>
        <w:t>康乐活动设计</w:t>
      </w:r>
      <w:r>
        <w:t>模块，结合失能老人认知与身体特点，传授适配性活动策划与带动技巧，填补机构照护中 “重护理、轻康乐” 的能力短板。</w:t>
      </w:r>
    </w:p>
    <w:p w14:paraId="6C627D20">
      <w:pPr>
        <w:pStyle w:val="3"/>
        <w:ind w:firstLine="640" w:firstLineChars="200"/>
      </w:pPr>
      <w:r>
        <w:t>二、创新培训模式，实现理论实操与场景化教学结合</w:t>
      </w:r>
    </w:p>
    <w:p w14:paraId="702E3F53">
      <w:pPr>
        <w:pStyle w:val="16"/>
        <w:ind w:firstLine="440" w:firstLineChars="200"/>
      </w:pPr>
      <w:r>
        <w:t>工作室师资团队发挥职业教育教学优势，打破 “课堂讲授 + 简单演示” 传统模式，采用 “实操示范 + 分组实训 + 情景模拟” 的沉浸式培训方式，提升培训实效。</w:t>
      </w:r>
    </w:p>
    <w:p w14:paraId="5C7F82DF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分层实操教学</w:t>
      </w:r>
      <w:r>
        <w:t>：针对护理人员基础能力差异，采取 “一对一指导 + 手把手教学” 模式。在智能护理床体位转换实训中，主持人带头示范设备参数调试、老人身体受力评估等关键步骤，学员师资分组跟进，针对操作薄弱人员开展专项辅导，确保全员掌握基础操作。</w:t>
      </w:r>
    </w:p>
    <w:p w14:paraId="2CE2F73F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场景化模拟演练</w:t>
      </w:r>
      <w:r>
        <w:t>：还原失能老人突发体位不适、排便困难等真实场景，组织护理人员分组开展应急处置演练。师资团队全程观察并即时点评，强化 “辅具应用 + 应急响应 + 人文安抚” 的综合处置能力，让培训内容可直接转化为岗位实操。</w:t>
      </w:r>
    </w:p>
    <w:p w14:paraId="4E1EA9C9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考核闭环检验</w:t>
      </w:r>
      <w:r>
        <w:t>：培训最后半天设置技能考核，考核内容覆盖智能辅具操作、照护流程规范、人文关怀落实三大维度，由工作室师资与养老机构负责人联合评分，确保参训人员学有所成、技有所用。</w:t>
      </w:r>
    </w:p>
    <w:p w14:paraId="1045CD52">
      <w:pPr>
        <w:pStyle w:val="3"/>
        <w:ind w:firstLine="640" w:firstLineChars="200"/>
      </w:pPr>
      <w:r>
        <w:t>三、双向交流研讨，打通院校教学与行业实践壁垒</w:t>
      </w:r>
    </w:p>
    <w:p w14:paraId="0670716B">
      <w:pPr>
        <w:pStyle w:val="16"/>
        <w:ind w:firstLine="440" w:firstLineChars="200"/>
      </w:pPr>
      <w:r>
        <w:t>培训期间，工作室师资团队与参训护理人员围绕 “智慧照护落地难点”“岗位技能升级需求” 展开深度研讨，实现院校教学经验与行业实践经验的双向碰撞。</w:t>
      </w:r>
    </w:p>
    <w:p w14:paraId="64C6DDFC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收集岗位实操痛点</w:t>
      </w:r>
      <w:r>
        <w:t>：参训护理人员反馈智能辅具在 “重度失能老人转移”“夜间照护应急” 等场景的应用难题，为工作室后续优化智慧康养专业实训课程提供了一线案例支撑。</w:t>
      </w:r>
    </w:p>
    <w:p w14:paraId="54624DEB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输出教学专业方法</w:t>
      </w:r>
      <w:r>
        <w:t>：工作室师资分享 “模块化教学”“错题复盘” 等职业教育方法，指导机构建立内部技能传帮带体系，助力培训成果长效落地。</w:t>
      </w:r>
    </w:p>
    <w:p w14:paraId="0C19F7FD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达成长期合作共识</w:t>
      </w:r>
      <w:r>
        <w:t>：双方就 “院校师资驻点指导”“机构骨干进校园交流” 达成初步意向，为构建校地协同的养老人才培养与能力提升机制奠定基础。</w:t>
      </w:r>
    </w:p>
    <w:p w14:paraId="25D76B22">
      <w:pPr>
        <w:pStyle w:val="3"/>
        <w:ind w:firstLine="640" w:firstLineChars="200"/>
      </w:pPr>
      <w:r>
        <w:t>四、成果转化与长效服务规划，赋能区域养老服务提质</w:t>
      </w:r>
    </w:p>
    <w:p w14:paraId="1F90630F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技能成效跟踪</w:t>
      </w:r>
      <w:r>
        <w:t>：联合虹口区养老服务行业协会，于培训结束 1 个月后开展回访调研，通过实操抽查、机构反馈等方式，跟踪护理人员技能落地情况，形成《培训成效评估报告》，为后续培训优化提供依据。</w:t>
      </w:r>
    </w:p>
    <w:p w14:paraId="4DB4B7A2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资源沉淀共享</w:t>
      </w:r>
      <w:r>
        <w:t>：整理培训中的实操手册、教学视频、考核标准，形成《失能老年人智慧照护岗位技能手册》，向虹口区养老机构免费发放，实现培训成果区域共享。</w:t>
      </w:r>
    </w:p>
    <w:p w14:paraId="3B77281A">
      <w:pPr>
        <w:pStyle w:val="16"/>
        <w:numPr>
          <w:ilvl w:val="0"/>
          <w:numId w:val="0"/>
        </w:numPr>
        <w:ind w:leftChars="0" w:firstLine="440" w:firstLineChars="200"/>
      </w:pPr>
      <w:r>
        <w:rPr>
          <w:b/>
          <w:bCs/>
        </w:rPr>
        <w:t>长效服务机制</w:t>
      </w:r>
      <w:r>
        <w:t>：建立 “虹口区养老照护技能提升服务站”，由工作室师资定期提供专项答疑、技能复训等服务；同步吸纳优秀机构护理骨干作为 “行业导师”，参与工作室智慧康养专业教学，实现校地人才共育。</w:t>
      </w:r>
    </w:p>
    <w:p w14:paraId="0D7C9940">
      <w:pPr>
        <w:pStyle w:val="16"/>
        <w:numPr>
          <w:ilvl w:val="0"/>
          <w:numId w:val="0"/>
        </w:num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5709285" cy="4282440"/>
            <wp:effectExtent l="0" t="0" r="5715" b="10160"/>
            <wp:docPr id="1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viewed illustrat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428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AA82">
      <w:pPr>
        <w:pStyle w:val="16"/>
        <w:numPr>
          <w:ilvl w:val="0"/>
          <w:numId w:val="0"/>
        </w:num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5689600" cy="4267200"/>
            <wp:effectExtent l="0" t="0" r="0" b="0"/>
            <wp:docPr id="4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viewed illustration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747D9">
      <w:pPr>
        <w:pStyle w:val="16"/>
        <w:numPr>
          <w:ilvl w:val="0"/>
          <w:numId w:val="0"/>
        </w:num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5689600" cy="4267200"/>
            <wp:effectExtent l="0" t="0" r="0" b="0"/>
            <wp:docPr id="2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viewed illustratio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95ECF">
      <w:pPr>
        <w:pStyle w:val="16"/>
        <w:numPr>
          <w:ilvl w:val="0"/>
          <w:numId w:val="0"/>
        </w:num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7629525" cy="5722620"/>
            <wp:effectExtent l="0" t="0" r="5080" b="3175"/>
            <wp:docPr id="3" name="Reviewed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viewed illustratio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29525" cy="572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F889D">
      <w:pPr>
        <w:pStyle w:val="16"/>
        <w:numPr>
          <w:ilvl w:val="0"/>
          <w:numId w:val="0"/>
        </w:numPr>
        <w:rPr>
          <w:rFonts w:hint="eastAsia" w:eastAsia="等线"/>
          <w:lang w:eastAsia="zh-CN"/>
        </w:rPr>
      </w:pPr>
    </w:p>
    <w:p w14:paraId="633692C7">
      <w:pPr>
        <w:pStyle w:val="16"/>
        <w:numPr>
          <w:ilvl w:val="0"/>
          <w:numId w:val="0"/>
        </w:numPr>
        <w:rPr>
          <w:rFonts w:hint="eastAsia" w:eastAsia="等线"/>
          <w:lang w:eastAsia="zh-CN"/>
        </w:rPr>
      </w:pPr>
    </w:p>
    <w:p w14:paraId="696E2B55">
      <w:pPr>
        <w:pStyle w:val="16"/>
        <w:numPr>
          <w:ilvl w:val="0"/>
          <w:numId w:val="0"/>
        </w:numPr>
        <w:rPr>
          <w:rFonts w:hint="eastAsia" w:eastAsia="等线"/>
          <w:lang w:eastAsia="zh-CN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2CC12FC5"/>
    <w:rsid w:val="517B6E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  <w:style w:type="paragraph" w:customStyle="1" w:styleId="16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1552</Words>
  <Characters>1558</Characters>
  <TotalTime>3</TotalTime>
  <ScaleCrop>false</ScaleCrop>
  <LinksUpToDate>false</LinksUpToDate>
  <CharactersWithSpaces>1600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eyJoZGlkIjoiY2NiOGY0Y2Y5MTFiMDBiYzc4YjYxZDJjY2JiYjdlZWQiLCJ1c2VySWQiOiI0MTIxMDA2ODkifQ==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B09CD020A38B4A32B99547A219E09BB5_12</vt:lpwstr>
  </property>
</Properties>
</file>