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A6596A">
      <w:pPr>
        <w:jc w:val="center"/>
        <w:rPr>
          <w:rFonts w:hint="eastAsia"/>
          <w:b/>
          <w:bCs/>
          <w:sz w:val="32"/>
          <w:szCs w:val="32"/>
        </w:rPr>
      </w:pPr>
      <w:bookmarkStart w:id="0" w:name="_Hlk165384559"/>
      <w:r>
        <w:rPr>
          <w:rFonts w:hint="eastAsia"/>
          <w:b/>
          <w:bCs/>
          <w:sz w:val="32"/>
          <w:szCs w:val="32"/>
          <w:lang w:val="en-US" w:eastAsia="zh-CN"/>
        </w:rPr>
        <w:t>袁媛名师工作室</w:t>
      </w:r>
      <w:r>
        <w:rPr>
          <w:rFonts w:hint="eastAsia"/>
          <w:b/>
          <w:bCs/>
          <w:sz w:val="32"/>
          <w:szCs w:val="32"/>
        </w:rPr>
        <w:t>教研活动记录</w:t>
      </w:r>
    </w:p>
    <w:p w14:paraId="630DD006">
      <w:pPr>
        <w:jc w:val="right"/>
        <w:rPr>
          <w:rFonts w:hint="eastAsia"/>
          <w:b/>
          <w:bCs/>
        </w:rPr>
      </w:pPr>
      <w:r>
        <w:rPr>
          <w:rFonts w:hint="eastAsia"/>
          <w:b/>
          <w:bCs/>
        </w:rPr>
        <w:t>日期：202</w:t>
      </w:r>
      <w:r>
        <w:rPr>
          <w:rFonts w:hint="eastAsia"/>
          <w:b/>
          <w:bCs/>
          <w:lang w:val="en-US" w:eastAsia="zh-CN"/>
        </w:rPr>
        <w:t>5</w:t>
      </w:r>
      <w:r>
        <w:rPr>
          <w:rFonts w:hint="eastAsia"/>
          <w:b/>
          <w:bCs/>
        </w:rPr>
        <w:t>年7月4日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6093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 w14:paraId="6F2DE8F3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摘要</w:t>
            </w:r>
          </w:p>
          <w:p w14:paraId="1C6AE171">
            <w:pPr>
              <w:rPr>
                <w:rFonts w:hint="eastAsia"/>
                <w:b/>
                <w:bCs/>
              </w:rPr>
            </w:pPr>
            <w:bookmarkStart w:id="1" w:name="_GoBack"/>
            <w:r>
              <w:rPr>
                <w:rFonts w:hint="eastAsia"/>
                <w:b/>
                <w:bCs/>
              </w:rPr>
              <w:t>仁济医院护理管理及教育人员技能竞赛观摩交流</w:t>
            </w:r>
          </w:p>
          <w:bookmarkEnd w:id="1"/>
          <w:p w14:paraId="13F1F829">
            <w:pPr>
              <w:numPr>
                <w:ilvl w:val="0"/>
                <w:numId w:val="1"/>
              </w:numPr>
              <w:ind w:left="210" w:leftChars="0"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聆听仁济医院护理管理及教育人员的案例汇报</w:t>
            </w:r>
          </w:p>
          <w:p w14:paraId="24B2080F">
            <w:pPr>
              <w:numPr>
                <w:ilvl w:val="0"/>
                <w:numId w:val="1"/>
              </w:numPr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观摩仁济医院护理管理及教育人员的</w:t>
            </w:r>
            <w:r>
              <w:rPr>
                <w:rFonts w:hint="eastAsia"/>
                <w:lang w:val="en-US" w:eastAsia="zh-CN"/>
              </w:rPr>
              <w:t>技能比赛</w:t>
            </w:r>
          </w:p>
          <w:p w14:paraId="1DF22FE2">
            <w:pPr>
              <w:numPr>
                <w:ilvl w:val="0"/>
                <w:numId w:val="1"/>
              </w:numPr>
              <w:pBdr>
                <w:bottom w:val="none" w:color="auto" w:sz="0" w:space="0"/>
              </w:pBd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基于本次学习讨论护理世赛的临床案例及项目</w:t>
            </w:r>
          </w:p>
          <w:p w14:paraId="06D1CA27">
            <w:pPr>
              <w:ind w:left="210" w:firstLine="0" w:firstLineChars="0"/>
              <w:rPr>
                <w:rFonts w:hint="default"/>
                <w:lang w:val="en-US" w:eastAsia="zh-CN"/>
              </w:rPr>
            </w:pPr>
          </w:p>
          <w:p w14:paraId="030B3683">
            <w:pPr>
              <w:rPr>
                <w:rFonts w:hint="eastAsia"/>
                <w:b/>
                <w:bCs/>
              </w:rPr>
            </w:pPr>
          </w:p>
        </w:tc>
      </w:tr>
      <w:tr w14:paraId="593CA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4F32E5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出席人员</w:t>
            </w:r>
          </w:p>
          <w:p w14:paraId="07D8D441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袁媛、曲娜、沈玲、杨玉亭、</w:t>
            </w:r>
            <w:r>
              <w:rPr>
                <w:rFonts w:hint="eastAsia"/>
                <w:lang w:val="en-US" w:eastAsia="zh-CN"/>
              </w:rPr>
              <w:t>汤诗恒、尹蕾、李若涵、施恒溢</w:t>
            </w:r>
          </w:p>
          <w:p w14:paraId="48DE5F33">
            <w:pPr>
              <w:rPr>
                <w:rFonts w:hint="eastAsia"/>
                <w:b/>
                <w:bCs/>
              </w:rPr>
            </w:pPr>
          </w:p>
          <w:p w14:paraId="180FA0E8">
            <w:pPr>
              <w:rPr>
                <w:rFonts w:hint="eastAsia"/>
                <w:b/>
                <w:bCs/>
              </w:rPr>
            </w:pPr>
          </w:p>
        </w:tc>
      </w:tr>
      <w:tr w14:paraId="77971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5" w:hRule="atLeast"/>
        </w:trPr>
        <w:tc>
          <w:tcPr>
            <w:tcW w:w="8522" w:type="dxa"/>
            <w:noWrap w:val="0"/>
            <w:vAlign w:val="top"/>
          </w:tcPr>
          <w:p w14:paraId="43CFB849">
            <w:pPr>
              <w:pBdr>
                <w:bottom w:val="none" w:color="auto" w:sz="0" w:space="0"/>
              </w:pBd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讨论记录</w:t>
            </w:r>
          </w:p>
          <w:p w14:paraId="144D5081">
            <w:pPr>
              <w:snapToGrid/>
              <w:spacing w:line="240" w:lineRule="auto"/>
            </w:pPr>
          </w:p>
          <w:p w14:paraId="0DDF7FFD">
            <w:pPr>
              <w:snapToGrid/>
              <w:spacing w:line="240" w:lineRule="auto"/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1.</w:t>
            </w:r>
            <w:r>
              <w:rPr>
                <w:i w:val="0"/>
                <w:strike w:val="0"/>
                <w:spacing w:val="0"/>
                <w:u w:val="none"/>
              </w:rPr>
              <w:t>案例汇报：临床智慧点亮教学灵感</w:t>
            </w:r>
          </w:p>
          <w:p w14:paraId="46912A5B">
            <w:pPr>
              <w:snapToGrid/>
              <w:spacing w:line="240" w:lineRule="auto"/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 xml:space="preserve">   </w:t>
            </w:r>
            <w:r>
              <w:rPr>
                <w:i w:val="0"/>
                <w:strike w:val="0"/>
                <w:spacing w:val="0"/>
                <w:u w:val="none"/>
              </w:rPr>
              <w:t>上午的案例汇报，是一场临床与教学思维碰撞的盛宴。东大内科呈现的“沉默的危机——脑梗死伴吞咽障碍患者突发意识障碍处理”，从疾病突发应急处置切入，清晰梳理救治流程与关键决策点，让我联想到如何将这类真实危急案例转化为学校课堂的教学素材，培养学生临床应变思维；西大内科“一例慢性阻塞性肺疾病（COPD）护理的案例设计”，围绕慢性病护理的全流程管理展开，从评估、干预到效果追踪，为慢性病护理教学提供了完整的实践框架 。</w:t>
            </w:r>
          </w:p>
          <w:p w14:paraId="487527D6">
            <w:pPr>
              <w:snapToGrid/>
              <w:spacing w:line="240" w:lineRule="auto"/>
              <w:rPr>
                <w:i w:val="0"/>
                <w:strike w:val="0"/>
                <w:spacing w:val="0"/>
                <w:u w:val="none"/>
              </w:rPr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 xml:space="preserve">    </w:t>
            </w:r>
            <w:r>
              <w:rPr>
                <w:i w:val="0"/>
                <w:strike w:val="0"/>
                <w:spacing w:val="0"/>
                <w:u w:val="none"/>
              </w:rPr>
              <w:t>急诊监护室的“人工气道吸痰护理案例教学”，聚焦操作规范与教学传递，其“规范·实践·提升”的主题，精准契合学校护理实操教学需求，让我思考如何把临床严谨的操作标准融入实训课程；南院区急诊护理“《迷雾三重门》——Gamification教学设计在急诊护理教学中的应用”，更是创新满满，将游戏化思维融入护理教学，为打破传统教学模式、提升学生学习积极性与参与感，提供了全新思路，为学校护理教学方法改革注入灵感。</w:t>
            </w:r>
          </w:p>
          <w:p w14:paraId="561D3A43">
            <w:pPr>
              <w:pBdr>
                <w:bottom w:val="none" w:color="auto" w:sz="0" w:space="0"/>
              </w:pBdr>
              <w:snapToGrid/>
              <w:spacing w:line="240" w:lineRule="auto"/>
            </w:pPr>
          </w:p>
          <w:p w14:paraId="02130C98">
            <w:pPr>
              <w:pBdr>
                <w:bottom w:val="none" w:color="auto" w:sz="0" w:space="0"/>
              </w:pBdr>
              <w:snapToGrid/>
              <w:spacing w:line="240" w:lineRule="auto"/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2.</w:t>
            </w:r>
            <w:r>
              <w:rPr>
                <w:i w:val="0"/>
                <w:strike w:val="0"/>
                <w:spacing w:val="0"/>
                <w:u w:val="none"/>
              </w:rPr>
              <w:t>技能比赛：实战场景锤炼育人本领</w:t>
            </w:r>
          </w:p>
          <w:p w14:paraId="20593D86">
            <w:pPr>
              <w:snapToGrid/>
              <w:spacing w:line="240" w:lineRule="auto"/>
              <w:rPr>
                <w:i w:val="0"/>
                <w:strike w:val="0"/>
                <w:spacing w:val="0"/>
                <w:u w:val="none"/>
              </w:rPr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 xml:space="preserve">   </w:t>
            </w:r>
            <w:r>
              <w:rPr>
                <w:i w:val="0"/>
                <w:strike w:val="0"/>
                <w:spacing w:val="0"/>
                <w:u w:val="none"/>
              </w:rPr>
              <w:t>“</w:t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>脓毒症</w:t>
            </w:r>
            <w:r>
              <w:rPr>
                <w:i w:val="0"/>
                <w:strike w:val="0"/>
                <w:spacing w:val="0"/>
                <w:u w:val="none"/>
              </w:rPr>
              <w:t>休克、低氧、室颤”模拟场景的技能比赛，让我真切看到临床对护理人员综合能力的严苛要求。从</w:t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>肌内注射哌替啶到</w:t>
            </w:r>
            <w:r>
              <w:rPr>
                <w:i w:val="0"/>
                <w:strike w:val="0"/>
                <w:spacing w:val="0"/>
                <w:u w:val="none"/>
              </w:rPr>
              <w:t>发现患者室颤启动CPR，</w:t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>再</w:t>
            </w:r>
            <w:r>
              <w:rPr>
                <w:i w:val="0"/>
                <w:strike w:val="0"/>
                <w:spacing w:val="0"/>
                <w:u w:val="none"/>
              </w:rPr>
              <w:t>到安抚家属、静脉输液、吸氧、抽血培养，每个环节环环相扣、分秒必争</w:t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>；</w:t>
            </w:r>
            <w:r>
              <w:rPr>
                <w:i w:val="0"/>
                <w:strike w:val="0"/>
                <w:spacing w:val="0"/>
                <w:u w:val="none"/>
              </w:rPr>
              <w:t>选手们规范的胸外按压、高效的通气配合，展现扎实急救功底；与家属沟通时，既专业清晰说明病情，又共情安抚情绪，体现人文关怀与沟通能力；静脉穿刺在紧张氛围中精准完成，保障补液通路；吸氧、抽血培养操作严守无菌原则与流程标准</w:t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>。</w:t>
            </w:r>
            <w:r>
              <w:rPr>
                <w:i w:val="0"/>
                <w:strike w:val="0"/>
                <w:spacing w:val="0"/>
                <w:u w:val="none"/>
              </w:rPr>
              <w:t>这让我深刻认识到，学校护理教学需更紧密对接临床实战，在技能训练中，不仅要打磨操作“精度”，更要培养学生应对复杂场景的“综合处置力”，让学生走出校园，能快速适应临床节奏，守护患者生命。</w:t>
            </w:r>
          </w:p>
          <w:p w14:paraId="77207D7D">
            <w:pPr>
              <w:pBdr>
                <w:bottom w:val="none" w:color="auto" w:sz="0" w:space="0"/>
              </w:pBdr>
              <w:snapToGrid/>
              <w:spacing w:line="240" w:lineRule="auto"/>
            </w:pPr>
          </w:p>
          <w:p w14:paraId="5A1A1DEA">
            <w:pPr>
              <w:pBdr>
                <w:bottom w:val="none" w:color="auto" w:sz="0" w:space="0"/>
              </w:pBdr>
              <w:snapToGrid/>
              <w:spacing w:line="240" w:lineRule="auto"/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>3.</w:t>
            </w:r>
            <w:r>
              <w:rPr>
                <w:i w:val="0"/>
                <w:strike w:val="0"/>
                <w:spacing w:val="0"/>
                <w:u w:val="none"/>
              </w:rPr>
              <w:t>校医协同：共筑护理人才培育之路</w:t>
            </w:r>
          </w:p>
          <w:p w14:paraId="0B549BF8">
            <w:pPr>
              <w:pBdr>
                <w:bottom w:val="none" w:color="auto" w:sz="0" w:space="0"/>
              </w:pBdr>
              <w:snapToGrid/>
              <w:spacing w:line="240" w:lineRule="auto"/>
            </w:pPr>
            <w:r>
              <w:rPr>
                <w:rFonts w:hint="eastAsia"/>
                <w:i w:val="0"/>
                <w:strike w:val="0"/>
                <w:spacing w:val="0"/>
                <w:u w:val="none"/>
              </w:rPr>
              <w:t xml:space="preserve">   </w:t>
            </w:r>
            <w:r>
              <w:rPr>
                <w:i w:val="0"/>
                <w:strike w:val="0"/>
                <w:spacing w:val="0"/>
                <w:u w:val="none"/>
              </w:rPr>
              <w:t>参与此次比赛，于我</w:t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>们</w:t>
            </w:r>
            <w:r>
              <w:rPr>
                <w:i w:val="0"/>
                <w:strike w:val="0"/>
                <w:spacing w:val="0"/>
                <w:u w:val="none"/>
              </w:rPr>
              <w:t>而言，是一次校医协同育人的深度调研。临床案例的丰富性、技能要求的实战性，为学校护理教学指明了方向</w:t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>，</w:t>
            </w:r>
            <w:r>
              <w:rPr>
                <w:i w:val="0"/>
                <w:strike w:val="0"/>
                <w:spacing w:val="0"/>
                <w:u w:val="none"/>
              </w:rPr>
              <w:t>把临床一线的真实案例、最新救治理念</w:t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>融入世界护理技能大赛，为世赛的案例选择和项目确定提供思路，为</w:t>
            </w:r>
            <w:r>
              <w:rPr>
                <w:i w:val="0"/>
                <w:strike w:val="0"/>
                <w:spacing w:val="0"/>
                <w:u w:val="none"/>
              </w:rPr>
              <w:t>护理事业发展注入新鲜血液，这也是我们护理教育工作者的使命与担当</w:t>
            </w:r>
            <w:r>
              <w:rPr>
                <w:rFonts w:hint="eastAsia"/>
                <w:i w:val="0"/>
                <w:strike w:val="0"/>
                <w:spacing w:val="0"/>
                <w:u w:val="none"/>
              </w:rPr>
              <w:t>。</w:t>
            </w:r>
          </w:p>
          <w:p w14:paraId="0B9D30BA">
            <w:pPr>
              <w:ind w:firstLine="5355" w:firstLineChars="2550"/>
              <w:rPr>
                <w:rFonts w:hint="eastAsia" w:ascii="宋体" w:hAnsi="宋体"/>
                <w:szCs w:val="21"/>
              </w:rPr>
            </w:pPr>
          </w:p>
          <w:p w14:paraId="7DC28892">
            <w:pPr>
              <w:ind w:firstLine="5355" w:firstLineChars="2550"/>
              <w:rPr>
                <w:rFonts w:hint="eastAsia" w:ascii="宋体" w:hAnsi="宋体"/>
                <w:szCs w:val="21"/>
              </w:rPr>
            </w:pPr>
          </w:p>
          <w:p w14:paraId="671E9AC2">
            <w:pPr>
              <w:ind w:firstLine="5355" w:firstLineChars="2550"/>
              <w:rPr>
                <w:rFonts w:hint="eastAsia" w:ascii="宋体" w:hAnsi="宋体"/>
                <w:szCs w:val="21"/>
              </w:rPr>
            </w:pPr>
          </w:p>
          <w:p w14:paraId="0F15158B">
            <w:pPr>
              <w:ind w:firstLine="5355" w:firstLineChars="2550"/>
              <w:rPr>
                <w:rFonts w:hint="eastAsia" w:ascii="宋体" w:hAnsi="宋体"/>
                <w:szCs w:val="21"/>
              </w:rPr>
            </w:pPr>
          </w:p>
          <w:p w14:paraId="1B64ED8A">
            <w:pPr>
              <w:ind w:firstLine="5355" w:firstLineChars="2550"/>
              <w:rPr>
                <w:rFonts w:hint="eastAsia" w:ascii="宋体" w:hAnsi="宋体"/>
                <w:szCs w:val="21"/>
              </w:rPr>
            </w:pPr>
          </w:p>
          <w:p w14:paraId="4FA738E2">
            <w:pPr>
              <w:ind w:firstLine="5355" w:firstLineChars="2550"/>
              <w:rPr>
                <w:rFonts w:hint="eastAsia" w:ascii="宋体" w:hAnsi="宋体"/>
                <w:szCs w:val="21"/>
              </w:rPr>
            </w:pPr>
          </w:p>
          <w:p w14:paraId="4096AA26">
            <w:pPr>
              <w:ind w:firstLine="5355" w:firstLineChars="255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记录   汤诗恒      </w:t>
            </w:r>
          </w:p>
          <w:p w14:paraId="0717DB5E">
            <w:pPr>
              <w:rPr>
                <w:rFonts w:hint="eastAsia" w:ascii="宋体" w:hAnsi="宋体"/>
                <w:szCs w:val="21"/>
              </w:rPr>
            </w:pPr>
          </w:p>
        </w:tc>
      </w:tr>
      <w:bookmarkEnd w:id="0"/>
    </w:tbl>
    <w:p w14:paraId="4BD9E0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545FF0"/>
    <w:multiLevelType w:val="singleLevel"/>
    <w:tmpl w:val="70545FF0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21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1F110C"/>
    <w:rsid w:val="623354CE"/>
    <w:rsid w:val="74585E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994</Words>
  <Characters>1019</Characters>
  <TotalTime>4</TotalTime>
  <ScaleCrop>false</ScaleCrop>
  <LinksUpToDate>false</LinksUpToDate>
  <CharactersWithSpaces>1046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eyJoZGlkIjoiY2NiOGY0Y2Y5MTFiMDBiYzc4YjYxZDJjY2JiYjdlZWQiLCJ1c2VySWQiOiI0MTIxMDA2ODkifQ==</vt:lpwstr>
  </property>
  <property fmtid="{D5CDD505-2E9C-101B-9397-08002B2CF9AE}" pid="3" name="KSOProductBuildVer">
    <vt:lpwstr>2052-12.1.0.21915</vt:lpwstr>
  </property>
  <property fmtid="{D5CDD505-2E9C-101B-9397-08002B2CF9AE}" pid="4" name="ICV">
    <vt:lpwstr>AF6B9592C4D74D5E92637A0C965E27DE_12</vt:lpwstr>
  </property>
</Properties>
</file>