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99F11">
      <w:pPr>
        <w:pStyle w:val="2"/>
        <w:rPr>
          <w:sz w:val="32"/>
          <w:szCs w:val="32"/>
        </w:rPr>
      </w:pPr>
      <w:r>
        <w:rPr>
          <w:sz w:val="32"/>
          <w:szCs w:val="32"/>
        </w:rPr>
        <w:t>袁媛名师工作室智慧康养人才培养改革方案教研活动成果总结</w:t>
      </w:r>
    </w:p>
    <w:p w14:paraId="48B6B274">
      <w:pPr>
        <w:pStyle w:val="16"/>
        <w:ind w:firstLine="440" w:firstLineChars="200"/>
      </w:pPr>
      <w:r>
        <w:t>为深入落实上海市职业教育综合改革要求，推动智慧康养专业群人才培养与产业需求精准对接，强化工作室成员对人才培养改革的理解与实践转化能力，袁媛名师工作室以 2025 年 10 月 24 日健康护理系教研活动为契机，围绕《智慧康养人才培养全过程改革方案》开展专题学习与研讨。活动聚焦改革核心、结合教学实际、凝聚育人共识，取得了预期成效，具体总结如下：</w:t>
      </w:r>
    </w:p>
    <w:p w14:paraId="5711967E">
      <w:pPr>
        <w:pStyle w:val="3"/>
      </w:pPr>
      <w:r>
        <w:t>一、政策与方案深学，锚定改革核心方向</w:t>
      </w:r>
    </w:p>
    <w:p w14:paraId="7AE586C6">
      <w:pPr>
        <w:pStyle w:val="16"/>
        <w:ind w:firstLine="440" w:firstLineChars="200"/>
      </w:pPr>
      <w:r>
        <w:t>工作室成员集体参与 "深化人才培养模式全过程改革，推动上海高等职业教育全面适配产业发展的工作方案" 学习，系统研读智慧康养专业群人才培养改革方案核心内容，明确改革的时代背景与实践路径。</w:t>
      </w:r>
    </w:p>
    <w:p w14:paraId="3ADE1825">
      <w:pPr>
        <w:pStyle w:val="16"/>
        <w:numPr>
          <w:ilvl w:val="0"/>
          <w:numId w:val="1"/>
        </w:numPr>
      </w:pPr>
      <w:r>
        <w:t>深刻把握 "专业布局围着需求转，人才培养跟着产业走，办学质量盯着就业评" 的发展模式，明晰上海深度老龄化背景下，智慧康养产业对临床护理、老年照护等领域人才的旺盛需求。</w:t>
      </w:r>
    </w:p>
    <w:p w14:paraId="6B8CC1DD">
      <w:pPr>
        <w:pStyle w:val="16"/>
        <w:numPr>
          <w:ilvl w:val="0"/>
          <w:numId w:val="1"/>
        </w:numPr>
      </w:pPr>
      <w:r>
        <w:t>重点学习改革方案中 "校企协同、数字赋能、服务融教" 三大路径，理解从行业需求分析到人才培养目标、从现状问题破解到重点举措落地的全链条设计逻辑，明确护理专业在老年医疗护理方向的培养定位。</w:t>
      </w:r>
    </w:p>
    <w:p w14:paraId="5985F17C">
      <w:pPr>
        <w:pStyle w:val="16"/>
        <w:numPr>
          <w:ilvl w:val="0"/>
          <w:numId w:val="1"/>
        </w:numPr>
      </w:pPr>
      <w:r>
        <w:t>结合徐卫东教授强调的 "强服务，重贡献" 职业教育定位，认识到护理教学需融入数智化技术、对接岗位实际，构建模块化教学体系的重要性。</w:t>
      </w:r>
    </w:p>
    <w:p w14:paraId="695252E1">
      <w:pPr>
        <w:pStyle w:val="3"/>
      </w:pPr>
      <w:r>
        <w:t>二、多维交流碰撞，凝聚教学实践共识</w:t>
      </w:r>
    </w:p>
    <w:p w14:paraId="5FAC652C">
      <w:pPr>
        <w:pStyle w:val="16"/>
        <w:ind w:firstLine="440" w:firstLineChars="200"/>
      </w:pPr>
      <w:r>
        <w:t>工作室成员结合护理专业教学实际，围绕改革方案中的产教融合、数字赋能、师资建设等关键内容展开深度交流，结合教学督导建议形成实践共识。</w:t>
      </w:r>
    </w:p>
    <w:p w14:paraId="4935C702">
      <w:pPr>
        <w:pStyle w:val="16"/>
        <w:numPr>
          <w:ilvl w:val="0"/>
          <w:numId w:val="1"/>
        </w:numPr>
      </w:pPr>
      <w:r>
        <w:t>针对人才供给与产业需求脱节问题，成员一致认为应深化与仁济医院等合作单位的订单培养模式，将 "3.5 年工学交替 + 1.5 年医院临床" 的长学制优势落到实处，前置临床岗位实习，提升学生岗位适配度与行业认同感。</w:t>
      </w:r>
    </w:p>
    <w:p w14:paraId="70AFF650">
      <w:pPr>
        <w:pStyle w:val="16"/>
        <w:numPr>
          <w:ilvl w:val="0"/>
          <w:numId w:val="1"/>
        </w:numPr>
      </w:pPr>
      <w:r>
        <w:t>聚焦数字化教学薄弱现状，明确需加快推进护理临床思维训练智能评价系统应用，将智能设备数据解读、远程监护等技能融入实训课程，同步更新活页式教材，确保教学内容与行业技术迭代同频。</w:t>
      </w:r>
    </w:p>
    <w:p w14:paraId="61EDF92E">
      <w:pPr>
        <w:pStyle w:val="16"/>
        <w:numPr>
          <w:ilvl w:val="0"/>
          <w:numId w:val="1"/>
        </w:numPr>
      </w:pPr>
      <w:r>
        <w:t>响应王超美督导提出的教师提升要求，工作室成员结合自身教学短板，提出将数字素养提升、企业实践历练纳入个人成长计划，主动参与校企联合教研，强化 "双师型" 能力建设。</w:t>
      </w:r>
    </w:p>
    <w:p w14:paraId="1F83CE8B">
      <w:pPr>
        <w:pStyle w:val="3"/>
      </w:pPr>
      <w:r>
        <w:t>三、锚定改革重点，明确落地实施路径</w:t>
      </w:r>
    </w:p>
    <w:p w14:paraId="13B088C0">
      <w:pPr>
        <w:pStyle w:val="16"/>
        <w:ind w:firstLine="440" w:firstLineChars="200"/>
      </w:pPr>
      <w:r>
        <w:t>结合改革方案要求与教研活动共识，工作室明确后续将从教学转化、校企协同、团队建设三方面推动改革落地，确保人才培养质量提升。</w:t>
      </w:r>
    </w:p>
    <w:p w14:paraId="7479C048">
      <w:pPr>
        <w:pStyle w:val="16"/>
        <w:numPr>
          <w:ilvl w:val="0"/>
          <w:numId w:val="1"/>
        </w:numPr>
      </w:pPr>
      <w:r>
        <w:t>教学内容重构：围绕老年医疗护理岗位 "数据分析与跨学科协作" 的能力新要求，重构课程体系，新增智能护理设备应用、健康数据解读等核心模块，2026 年 3 月前完成首批核心课程教案更新与数字化资源开发。</w:t>
      </w:r>
    </w:p>
    <w:p w14:paraId="5487D09C">
      <w:pPr>
        <w:pStyle w:val="16"/>
        <w:numPr>
          <w:ilvl w:val="0"/>
          <w:numId w:val="1"/>
        </w:numPr>
      </w:pPr>
      <w:r>
        <w:t>校企协同深化：依托已建立的仁济医院等合作基地，拓展 "临床案例进校园、教学问题进临床" 双向交流机制，每学期邀请企业专家参与课程设计、实训指导，共同制定护理专业实践考核标准。</w:t>
      </w:r>
    </w:p>
    <w:p w14:paraId="095DE83B">
      <w:pPr>
        <w:pStyle w:val="16"/>
        <w:numPr>
          <w:ilvl w:val="0"/>
          <w:numId w:val="1"/>
        </w:numPr>
      </w:pPr>
      <w:r>
        <w:t>团队能力提升：制定工作室成员数字素养提升计划，联合智慧康养实训中心开展智能设备操作专项培训，组织教师赴合作企业集中实践，确保每位成员 5 年内完成 6 个月企业实践任务，打造高素质 "双师型" 教学团队。</w:t>
      </w:r>
    </w:p>
    <w:p w14:paraId="460F16D6">
      <w:pPr>
        <w:pStyle w:val="3"/>
      </w:pPr>
      <w:r>
        <w:t>四、后续转化与长效发展规划</w:t>
      </w:r>
    </w:p>
    <w:p w14:paraId="6638C6BA">
      <w:pPr>
        <w:pStyle w:val="16"/>
        <w:numPr>
          <w:ilvl w:val="0"/>
          <w:numId w:val="2"/>
        </w:numPr>
      </w:pPr>
      <w:r>
        <w:t>成果梳理与教学落地：系统整理教研活动研讨成果，要求工作室成员结合所授课程，于 2026 年 6 月前完成全部课程的</w:t>
      </w:r>
      <w:r>
        <w:rPr>
          <w:rFonts w:hint="eastAsia"/>
          <w:lang w:val="en-US" w:eastAsia="zh-CN"/>
        </w:rPr>
        <w:t>数字化</w:t>
      </w:r>
      <w:r>
        <w:t>教学改革落地，同步开展学生学习效果跟踪评估。</w:t>
      </w:r>
    </w:p>
    <w:p w14:paraId="0423B6B8">
      <w:pPr>
        <w:pStyle w:val="16"/>
        <w:numPr>
          <w:ilvl w:val="0"/>
          <w:numId w:val="2"/>
        </w:numPr>
      </w:pPr>
      <w:r>
        <w:t>改革成效监测：建立教学改革成效监测机制，每学期收集毕业生就业质量、用人单位满意度等数据，对照改革目标优化教学策略，形成 "需求 - 培养 - 就业 - 反馈" 的闭环管理。</w:t>
      </w:r>
    </w:p>
    <w:p w14:paraId="1893FB9B">
      <w:pPr>
        <w:pStyle w:val="16"/>
        <w:numPr>
          <w:ilvl w:val="0"/>
          <w:numId w:val="2"/>
        </w:numPr>
      </w:pPr>
      <w:r>
        <w:t>经验推广与辐射：总结工作室改革实践中的典型案例与成功经验，通过校内教研分享、职教集团交流等渠道推广，发挥名师工作室示范引领作用，助力健康护理系智慧康养专业群整体改革提质增效。</w:t>
      </w:r>
    </w:p>
    <w:p w14:paraId="306CC3CA">
      <w:pPr>
        <w:pStyle w:val="16"/>
        <w:numPr>
          <w:numId w:val="0"/>
        </w:numPr>
        <w:ind w:leftChars="0"/>
        <w:rPr>
          <w:rFonts w:hint="eastAsia" w:eastAsia="等线"/>
          <w:lang w:eastAsia="zh-CN"/>
        </w:rPr>
      </w:pPr>
      <w:r>
        <w:rPr>
          <w:rFonts w:hint="eastAsia" w:eastAsia="等线"/>
          <w:lang w:eastAsia="zh-CN"/>
        </w:rPr>
        <w:drawing>
          <wp:inline distT="0" distB="0" distL="114300" distR="114300">
            <wp:extent cx="5728335" cy="4294505"/>
            <wp:effectExtent l="0" t="0" r="12065" b="10795"/>
            <wp:docPr id="1" name="Reviewed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viewed illustratio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8335" cy="429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bullet"/>
      <w:lvlText w:val="•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bullet"/>
      <w:lvlText w:val="◦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bullet"/>
      <w:lvlText w:val="▪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bullet"/>
      <w:lvlText w:val="•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bullet"/>
      <w:lvlText w:val="◦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bullet"/>
      <w:lvlText w:val="▪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bullet"/>
      <w:lvlText w:val="•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bullet"/>
      <w:lvlText w:val="◦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bullet"/>
      <w:lvlText w:val="▪"/>
      <w:lvlJc w:val="left"/>
      <w:pPr>
        <w:ind w:left="3744" w:hanging="288"/>
      </w:pPr>
      <w:rPr>
        <w:color w:val="3370FF"/>
        <w:sz w:val="22"/>
        <w:szCs w:val="22"/>
      </w:rPr>
    </w:lvl>
  </w:abstractNum>
  <w:abstractNum w:abstractNumId="1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3BA8664A"/>
    <w:rsid w:val="783444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character" w:styleId="13">
    <w:name w:val="footnote reference"/>
    <w:semiHidden/>
    <w:unhideWhenUsed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uiPriority w:val="99"/>
    <w:rPr>
      <w:sz w:val="20"/>
      <w:szCs w:val="20"/>
    </w:rPr>
  </w:style>
  <w:style w:type="paragraph" w:customStyle="1" w:styleId="16">
    <w:name w:val="_Style 13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1475</Words>
  <Characters>1491</Characters>
  <TotalTime>2</TotalTime>
  <ScaleCrop>false</ScaleCrop>
  <LinksUpToDate>false</LinksUpToDate>
  <CharactersWithSpaces>1538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eyJoZGlkIjoiY2NiOGY0Y2Y5MTFiMDBiYzc4YjYxZDJjY2JiYjdlZWQiLCJ1c2VySWQiOiI0MTIxMDA2ODkifQ==</vt:lpwstr>
  </property>
  <property fmtid="{D5CDD505-2E9C-101B-9397-08002B2CF9AE}" pid="3" name="KSOProductBuildVer">
    <vt:lpwstr>2052-12.1.0.23125</vt:lpwstr>
  </property>
  <property fmtid="{D5CDD505-2E9C-101B-9397-08002B2CF9AE}" pid="4" name="ICV">
    <vt:lpwstr>084CE6B6D59F4404896C4FF614AFE6B8_12</vt:lpwstr>
  </property>
</Properties>
</file>