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C2277">
      <w:pPr>
        <w:pStyle w:val="2"/>
      </w:pPr>
      <w:r>
        <w:t>袁媛名师工作室赴仁济医院学习交流教研活动成果总结</w:t>
      </w:r>
    </w:p>
    <w:p w14:paraId="2C86890C">
      <w:pPr>
        <w:pStyle w:val="16"/>
        <w:ind w:firstLine="440" w:firstLineChars="200"/>
      </w:pPr>
      <w:r>
        <w:t>为进一步强化工作室成员的护理教学与临床实践衔接能力，为我校护理专业教师搭建临床前沿与教学创新的交流桥梁，夯实护理教学专科基础，优化护理世赛备赛思路，袁媛名师工作室于 2025 年 7 月 4 日组织成员前往仁济医院，</w:t>
      </w:r>
      <w:r>
        <w:rPr>
          <w:rFonts w:hint="eastAsia"/>
        </w:rPr>
        <w:t>观摩</w:t>
      </w:r>
      <w:r>
        <w:rPr>
          <w:rFonts w:hint="eastAsia"/>
          <w:lang w:val="en-US" w:eastAsia="zh-CN"/>
        </w:rPr>
        <w:t>医院</w:t>
      </w:r>
      <w:r>
        <w:rPr>
          <w:rFonts w:hint="eastAsia"/>
        </w:rPr>
        <w:t>护理管理及教育人员技能竞赛</w:t>
      </w:r>
      <w:r>
        <w:rPr>
          <w:rFonts w:hint="eastAsia"/>
          <w:lang w:eastAsia="zh-CN"/>
        </w:rPr>
        <w:t>，</w:t>
      </w:r>
      <w:r>
        <w:rPr>
          <w:rFonts w:hint="eastAsia"/>
          <w:lang w:val="en-US" w:eastAsia="zh-CN"/>
        </w:rPr>
        <w:t>并</w:t>
      </w:r>
      <w:r>
        <w:rPr>
          <w:rFonts w:hint="eastAsia"/>
        </w:rPr>
        <w:t>交流</w:t>
      </w:r>
      <w:r>
        <w:t>研讨</w:t>
      </w:r>
      <w:bookmarkStart w:id="0" w:name="_GoBack"/>
      <w:bookmarkEnd w:id="0"/>
      <w:r>
        <w:t>。本次活动围绕临床案例转化、实战技能提炼、校医协同育人三大核心目标展开，成果显著，具体总结如下：</w:t>
      </w:r>
    </w:p>
    <w:p w14:paraId="49459B9E">
      <w:pPr>
        <w:pStyle w:val="3"/>
      </w:pPr>
      <w:r>
        <w:t>一、临床案例学习，点亮护理教学灵感</w:t>
      </w:r>
    </w:p>
    <w:p w14:paraId="2567EEB3">
      <w:pPr>
        <w:pStyle w:val="16"/>
        <w:ind w:firstLine="440" w:firstLineChars="200"/>
      </w:pPr>
      <w:r>
        <w:t>工作室成员全程聆听仁济医院护理管理及教育人员的多领域案例汇报，从临床真实场景中挖掘教学素材，为护理课堂注入新活力。</w:t>
      </w:r>
    </w:p>
    <w:p w14:paraId="4F66AD34">
      <w:pPr>
        <w:pStyle w:val="16"/>
        <w:numPr>
          <w:ilvl w:val="0"/>
          <w:numId w:val="1"/>
        </w:numPr>
      </w:pPr>
      <w:r>
        <w:t>东大内科呈现的 “沉默的危机 —— 脑梗死伴吞咽障碍患者突发意识障碍处理” 案例，以疾病应急处置为核心，清晰梳理从病情识别、救治流程到关键决策的全环节，为工作室成员提供了 “危急重症案例教学转化” 的范本，助力将临床应急思维融入学校教学，培养学生的临床应变能力。</w:t>
      </w:r>
    </w:p>
    <w:p w14:paraId="56D6E2A8">
      <w:pPr>
        <w:pStyle w:val="16"/>
        <w:numPr>
          <w:ilvl w:val="0"/>
          <w:numId w:val="1"/>
        </w:numPr>
      </w:pPr>
      <w:r>
        <w:t>西大内科 “一例慢性阻塞性肺疾病（COPD）护理的案例设计”，围绕慢性病全流程管理展开，涵盖评估、干预、效果追踪等关键模块，为慢性病护理教学搭建了完整的实践框架，帮助教师更系统地设计课程内容，提升学生对慢性病护理的整体认知。</w:t>
      </w:r>
    </w:p>
    <w:p w14:paraId="68612BDB">
      <w:pPr>
        <w:pStyle w:val="16"/>
        <w:numPr>
          <w:ilvl w:val="0"/>
          <w:numId w:val="1"/>
        </w:numPr>
      </w:pPr>
      <w:r>
        <w:t>急诊监护室 “人工气道吸痰护理案例教学” 以 “规范・实践・提升” 为主题，聚焦操作规范与教学传递的衔接点，其严谨的操作标准和教学转化思路，精准契合学校护理实操教学需求，为优化实训课程设计、强化学生操作规范性提供了直接参考。</w:t>
      </w:r>
    </w:p>
    <w:p w14:paraId="0BAA5A47">
      <w:pPr>
        <w:pStyle w:val="16"/>
        <w:numPr>
          <w:ilvl w:val="0"/>
          <w:numId w:val="1"/>
        </w:numPr>
      </w:pPr>
      <w:r>
        <w:t>南院区急诊护理 “《迷雾三重门》——Gamification 教学设计在急诊护理教学中的应用”，创新性地将游戏化思维融入护理教学，打破传统教学模式的局限，为提升学生学习积极性与参与感提供了全新方向，为工作室推动护理教学方法改革注入关键灵感。</w:t>
      </w:r>
    </w:p>
    <w:p w14:paraId="61F99898">
      <w:pPr>
        <w:pStyle w:val="3"/>
      </w:pPr>
      <w:r>
        <w:t>二、技能比赛观摩，锤炼育人核心本领</w:t>
      </w:r>
    </w:p>
    <w:p w14:paraId="5282620E">
      <w:pPr>
        <w:pStyle w:val="16"/>
        <w:ind w:firstLine="440" w:firstLineChars="200"/>
      </w:pPr>
      <w:r>
        <w:t>成员通过观摩仁济医院 “脓毒症休克、低氧、室颤” 模拟场景技能比赛，深入感知临床对护理人员综合能力的严苛要求，明确学校护理教学的实战化改进方向。</w:t>
      </w:r>
    </w:p>
    <w:p w14:paraId="4CE89F34">
      <w:pPr>
        <w:pStyle w:val="16"/>
        <w:ind w:firstLine="440" w:firstLineChars="200"/>
      </w:pPr>
      <w:r>
        <w:t>比赛场景中，从肌内注射哌替啶、识别患者室颤并启动 CPR，到安抚家属情绪、静脉输液、吸氧、抽血培养，各环节环环相扣、分秒必争，充分展现临床急救的紧迫性与系统性。选手们展现的扎实技能（如规范的胸外按压、高效的通气配合、紧张氛围下精准的静脉穿刺）、专业的病情沟通能力（清晰说明病情同时共情安抚家属）、严格的无菌操作意识，让工作室成员深刻认识到：学校护理教学需进一步对接临床实战，在技能训练中既要打磨操作 “精度”，更要强化学生应对复杂场景的 “综合处置力”，确保学生毕业后能快速适应临床节奏，守护患者生命安全。</w:t>
      </w:r>
    </w:p>
    <w:p w14:paraId="41F7A08F">
      <w:pPr>
        <w:pStyle w:val="3"/>
      </w:pPr>
      <w:r>
        <w:t>三、校医协同研讨，明确世赛培育方向</w:t>
      </w:r>
    </w:p>
    <w:p w14:paraId="38126404">
      <w:pPr>
        <w:pStyle w:val="16"/>
        <w:ind w:firstLine="440" w:firstLineChars="200"/>
      </w:pPr>
      <w:r>
        <w:t>以本次学习为契机，工作室成员与仁济医院护理团队围绕 “护理世赛临床案例及项目” 展开深度研讨，推动校医协同育人机制落地，为护理世赛备赛与人才培育锚定方向。</w:t>
      </w:r>
    </w:p>
    <w:p w14:paraId="5761D0F8">
      <w:pPr>
        <w:pStyle w:val="16"/>
        <w:ind w:firstLine="440" w:firstLineChars="200"/>
      </w:pPr>
      <w:r>
        <w:t>研讨中，双方聚焦临床案例的丰富性与技能要求的实战性，一致认为：应将临床一线的真实案例、最新救治理念融入世界护理技能大赛的备赛体系，为世赛的案例选择、项目确定提供临床依据，实现 “以赛促教、以赛促学、以赛促练” 的目标。同时，工作室成员明确自身使命 —— 作为护理教育工作者，需持续加强与临床机构的协作，将临床需求转化为教学目标，为护理事业培养兼具理论素养、实战能力与创新思维的高素质人才，为护理事业高质量发展注入新鲜血液。</w:t>
      </w:r>
    </w:p>
    <w:p w14:paraId="6A21FCA1">
      <w:pPr>
        <w:pStyle w:val="3"/>
      </w:pPr>
      <w:r>
        <w:t>四、后续转化与长效发展规划</w:t>
      </w:r>
    </w:p>
    <w:p w14:paraId="260BBD6A">
      <w:pPr>
        <w:pStyle w:val="16"/>
        <w:numPr>
          <w:ilvl w:val="0"/>
          <w:numId w:val="2"/>
        </w:numPr>
      </w:pPr>
      <w:r>
        <w:rPr>
          <w:b/>
          <w:bCs/>
        </w:rPr>
        <w:t>成果梳理与教学转化</w:t>
      </w:r>
      <w:r>
        <w:t xml:space="preserve">：活动结束后，工作室组织全体成员开展成果分享会，系统梳理案例汇报中的教学素材、技能比赛中的实战要点，形成《临床案例教学转化手册》《护理技能实战训练指南》，并要求成员结合所授课程，将所学内容融入教案设计与实训安排，于 2025 年 </w:t>
      </w:r>
      <w:r>
        <w:rPr>
          <w:rFonts w:hint="eastAsia"/>
          <w:lang w:val="en-US" w:eastAsia="zh-CN"/>
        </w:rPr>
        <w:t>12</w:t>
      </w:r>
      <w:r>
        <w:t xml:space="preserve"> 月前完成首批教学转化案例的课堂实践。</w:t>
      </w:r>
    </w:p>
    <w:p w14:paraId="202D0F44">
      <w:pPr>
        <w:pStyle w:val="16"/>
        <w:numPr>
          <w:ilvl w:val="0"/>
          <w:numId w:val="2"/>
        </w:numPr>
      </w:pPr>
      <w:r>
        <w:rPr>
          <w:b/>
          <w:bCs/>
        </w:rPr>
        <w:t>校医协同机制深化</w:t>
      </w:r>
      <w:r>
        <w:t>：与仁济医院护理管理及教育部门建立长期合作关系，每季度开展 1 次 “临床案例进校园”“教学问题进临床” 双向交流活动，定期邀请临床专家参与学校护理教学研讨、实训指导及世赛备赛点评，确保教学内容与临床需求同频共振。</w:t>
      </w:r>
    </w:p>
    <w:p w14:paraId="3E0F0EC4">
      <w:pPr>
        <w:pStyle w:val="16"/>
        <w:numPr>
          <w:ilvl w:val="0"/>
          <w:numId w:val="2"/>
        </w:numPr>
      </w:pPr>
      <w:r>
        <w:rPr>
          <w:b/>
          <w:bCs/>
        </w:rPr>
        <w:t>世赛备赛优化</w:t>
      </w:r>
      <w:r>
        <w:t>：以本次学习成果为基础，联合临床专家修订护理世赛备赛方案，新增 “复杂临床场景模拟训练模块”，引入游戏化教学方法提升备赛积极性。</w:t>
      </w: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bullet"/>
      <w:lvlText w:val="•"/>
      <w:lvlJc w:val="left"/>
      <w:pPr>
        <w:ind w:left="288" w:hanging="288"/>
      </w:pPr>
      <w:rPr>
        <w:color w:val="3370FF"/>
        <w:sz w:val="22"/>
        <w:szCs w:val="22"/>
      </w:rPr>
    </w:lvl>
    <w:lvl w:ilvl="1" w:tentative="0">
      <w:start w:val="1"/>
      <w:numFmt w:val="bullet"/>
      <w:lvlText w:val="◦"/>
      <w:lvlJc w:val="left"/>
      <w:pPr>
        <w:ind w:left="720" w:hanging="288"/>
      </w:pPr>
      <w:rPr>
        <w:color w:val="3370FF"/>
        <w:sz w:val="22"/>
        <w:szCs w:val="22"/>
      </w:rPr>
    </w:lvl>
    <w:lvl w:ilvl="2" w:tentative="0">
      <w:start w:val="1"/>
      <w:numFmt w:val="bullet"/>
      <w:lvlText w:val="▪"/>
      <w:lvlJc w:val="left"/>
      <w:pPr>
        <w:ind w:left="1152" w:hanging="288"/>
      </w:pPr>
      <w:rPr>
        <w:color w:val="3370FF"/>
        <w:sz w:val="22"/>
        <w:szCs w:val="22"/>
      </w:rPr>
    </w:lvl>
    <w:lvl w:ilvl="3" w:tentative="0">
      <w:start w:val="1"/>
      <w:numFmt w:val="bullet"/>
      <w:lvlText w:val="•"/>
      <w:lvlJc w:val="left"/>
      <w:pPr>
        <w:ind w:left="1583" w:hanging="288"/>
      </w:pPr>
      <w:rPr>
        <w:color w:val="3370FF"/>
        <w:sz w:val="22"/>
        <w:szCs w:val="22"/>
      </w:rPr>
    </w:lvl>
    <w:lvl w:ilvl="4" w:tentative="0">
      <w:start w:val="1"/>
      <w:numFmt w:val="bullet"/>
      <w:lvlText w:val="◦"/>
      <w:lvlJc w:val="left"/>
      <w:pPr>
        <w:ind w:left="2015" w:hanging="288"/>
      </w:pPr>
      <w:rPr>
        <w:color w:val="3370FF"/>
        <w:sz w:val="22"/>
        <w:szCs w:val="22"/>
      </w:rPr>
    </w:lvl>
    <w:lvl w:ilvl="5" w:tentative="0">
      <w:start w:val="1"/>
      <w:numFmt w:val="bullet"/>
      <w:lvlText w:val="▪"/>
      <w:lvlJc w:val="left"/>
      <w:pPr>
        <w:ind w:left="2448" w:hanging="288"/>
      </w:pPr>
      <w:rPr>
        <w:color w:val="3370FF"/>
        <w:sz w:val="22"/>
        <w:szCs w:val="22"/>
      </w:rPr>
    </w:lvl>
    <w:lvl w:ilvl="6" w:tentative="0">
      <w:start w:val="1"/>
      <w:numFmt w:val="bullet"/>
      <w:lvlText w:val="•"/>
      <w:lvlJc w:val="left"/>
      <w:pPr>
        <w:ind w:left="2879" w:hanging="288"/>
      </w:pPr>
      <w:rPr>
        <w:color w:val="3370FF"/>
        <w:sz w:val="22"/>
        <w:szCs w:val="22"/>
      </w:rPr>
    </w:lvl>
    <w:lvl w:ilvl="7" w:tentative="0">
      <w:start w:val="1"/>
      <w:numFmt w:val="bullet"/>
      <w:lvlText w:val="◦"/>
      <w:lvlJc w:val="left"/>
      <w:pPr>
        <w:ind w:left="3312" w:hanging="288"/>
      </w:pPr>
      <w:rPr>
        <w:color w:val="3370FF"/>
        <w:sz w:val="22"/>
        <w:szCs w:val="22"/>
      </w:rPr>
    </w:lvl>
    <w:lvl w:ilvl="8" w:tentative="0">
      <w:start w:val="1"/>
      <w:numFmt w:val="bullet"/>
      <w:lvlText w:val="▪"/>
      <w:lvlJc w:val="left"/>
      <w:pPr>
        <w:ind w:left="3744" w:hanging="288"/>
      </w:pPr>
      <w:rPr>
        <w:color w:val="3370FF"/>
        <w:sz w:val="22"/>
        <w:szCs w:val="22"/>
      </w:rPr>
    </w:lvl>
  </w:abstractNum>
  <w:abstractNum w:abstractNumId="1">
    <w:nsid w:val="59ADCABA"/>
    <w:multiLevelType w:val="multilevel"/>
    <w:tmpl w:val="59ADCABA"/>
    <w:lvl w:ilvl="0" w:tentative="0">
      <w:start w:val="1"/>
      <w:numFmt w:val="decimal"/>
      <w:lvlText w:val="%1."/>
      <w:lvlJc w:val="left"/>
      <w:pPr>
        <w:ind w:left="288" w:hanging="288"/>
      </w:pPr>
      <w:rPr>
        <w:color w:val="3370FF"/>
        <w:sz w:val="22"/>
        <w:szCs w:val="22"/>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ompat>
    <w:useFELayout/>
    <w:compatSetting w:name="compatibilityMode" w:uri="http://schemas.microsoft.com/office/word" w:val="15"/>
  </w:compat>
  <w:rsids>
    <w:rsidRoot w:val="00000000"/>
    <w:rsid w:val="323A0F5D"/>
    <w:rsid w:val="3B7715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paragraph" w:styleId="6">
    <w:name w:val="heading 5"/>
    <w:next w:val="1"/>
    <w:qFormat/>
    <w:uiPriority w:val="0"/>
    <w:pPr>
      <w:spacing w:before="240" w:after="120" w:line="288" w:lineRule="auto"/>
      <w:ind w:left="0"/>
      <w:jc w:val="left"/>
      <w:outlineLvl w:val="4"/>
    </w:pPr>
    <w:rPr>
      <w:rFonts w:ascii="Arial" w:hAnsi="Arial" w:eastAsia="等线" w:cs="Arial"/>
      <w:b/>
      <w:bCs/>
      <w:sz w:val="24"/>
      <w:szCs w:val="24"/>
    </w:rPr>
  </w:style>
  <w:style w:type="paragraph" w:styleId="7">
    <w:name w:val="heading 6"/>
    <w:next w:val="1"/>
    <w:qFormat/>
    <w:uiPriority w:val="0"/>
    <w:pPr>
      <w:spacing w:before="240" w:after="120" w:line="288" w:lineRule="auto"/>
      <w:ind w:left="0"/>
      <w:jc w:val="left"/>
      <w:outlineLvl w:val="5"/>
    </w:pPr>
    <w:rPr>
      <w:rFonts w:ascii="Arial" w:hAnsi="Arial" w:eastAsia="等线" w:cs="Arial"/>
      <w:b/>
      <w:bCs/>
      <w:sz w:val="24"/>
      <w:szCs w:val="2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8">
    <w:name w:val="footnote text"/>
    <w:link w:val="15"/>
    <w:semiHidden/>
    <w:unhideWhenUsed/>
    <w:qFormat/>
    <w:uiPriority w:val="99"/>
    <w:pPr>
      <w:spacing w:after="0" w:line="240" w:lineRule="auto"/>
    </w:pPr>
    <w:rPr>
      <w:rFonts w:asciiTheme="minorHAnsi" w:hAnsiTheme="minorHAnsi" w:eastAsiaTheme="minorEastAsia" w:cstheme="minorBidi"/>
      <w:sz w:val="20"/>
      <w:szCs w:val="20"/>
    </w:rPr>
  </w:style>
  <w:style w:type="paragraph" w:styleId="9">
    <w:name w:val="Title"/>
    <w:qFormat/>
    <w:uiPriority w:val="0"/>
    <w:pPr>
      <w:spacing w:before="480" w:after="480" w:line="288" w:lineRule="auto"/>
      <w:ind w:left="0"/>
    </w:pPr>
    <w:rPr>
      <w:rFonts w:ascii="Arial" w:hAnsi="Arial" w:eastAsia="等线" w:cs="Arial"/>
      <w:b/>
      <w:bCs/>
      <w:sz w:val="52"/>
      <w:szCs w:val="52"/>
    </w:rPr>
  </w:style>
  <w:style w:type="character" w:styleId="12">
    <w:name w:val="Hyperlink"/>
    <w:unhideWhenUsed/>
    <w:qFormat/>
    <w:uiPriority w:val="99"/>
    <w:rPr>
      <w:color w:val="0563C1"/>
      <w:u w:val="single"/>
    </w:rPr>
  </w:style>
  <w:style w:type="character" w:styleId="13">
    <w:name w:val="footnote reference"/>
    <w:semiHidden/>
    <w:unhideWhenUsed/>
    <w:qFormat/>
    <w:uiPriority w:val="99"/>
    <w:rPr>
      <w:vertAlign w:val="superscript"/>
    </w:rPr>
  </w:style>
  <w:style w:type="paragraph" w:styleId="14">
    <w:name w:val="List Paragraph"/>
    <w:qFormat/>
    <w:uiPriority w:val="0"/>
    <w:rPr>
      <w:rFonts w:asciiTheme="minorHAnsi" w:hAnsiTheme="minorHAnsi" w:eastAsiaTheme="minorEastAsia" w:cstheme="minorBidi"/>
      <w:sz w:val="21"/>
      <w:szCs w:val="22"/>
    </w:rPr>
  </w:style>
  <w:style w:type="character" w:customStyle="1" w:styleId="15">
    <w:name w:val="Footnote Text Char"/>
    <w:link w:val="8"/>
    <w:semiHidden/>
    <w:unhideWhenUsed/>
    <w:qFormat/>
    <w:uiPriority w:val="99"/>
    <w:rPr>
      <w:sz w:val="20"/>
      <w:szCs w:val="20"/>
    </w:rPr>
  </w:style>
  <w:style w:type="paragraph" w:customStyle="1" w:styleId="16">
    <w:name w:val="_Style 13"/>
    <w:qFormat/>
    <w:uiPriority w:val="0"/>
    <w:pPr>
      <w:spacing w:before="120" w:after="120" w:line="288" w:lineRule="auto"/>
      <w:ind w:left="0"/>
      <w:jc w:val="left"/>
    </w:pPr>
    <w:rPr>
      <w:rFonts w:ascii="Arial" w:hAnsi="Arial" w:eastAsia="等线" w:cs="Arial"/>
      <w:sz w:val="22"/>
      <w:szCs w:val="22"/>
    </w:rPr>
  </w:style>
  <w:style w:type="paragraph" w:customStyle="1" w:styleId="17">
    <w:name w:val="_Style 14"/>
    <w:qFormat/>
    <w:uiPriority w:val="0"/>
    <w:pPr>
      <w:spacing w:before="120" w:after="120" w:line="288" w:lineRule="auto"/>
      <w:ind w:left="0"/>
      <w:jc w:val="left"/>
    </w:pPr>
    <w:rPr>
      <w:rFonts w:ascii="Arial" w:hAnsi="Arial" w:eastAsia="等线" w:cs="Arial"/>
      <w:color w:val="8F959E"/>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1674</Words>
  <Characters>1702</Characters>
  <TotalTime>0</TotalTime>
  <ScaleCrop>false</ScaleCrop>
  <LinksUpToDate>false</LinksUpToDate>
  <CharactersWithSpaces>1741</CharactersWithSpaces>
  <Application>WPS Office_12.1.0.21915_F1E327BC-269C-435d-A152-05C5408002CA</Application>
</Properties>
</file>

<file path=docProps/core.xml><?xml version="1.0" encoding="utf-8"?>
<cp:coreProperties xmlns:cp="http://schemas.openxmlformats.org/package/2006/metadata/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eyJoZGlkIjoiY2NiOGY0Y2Y5MTFiMDBiYzc4YjYxZDJjY2JiYjdlZWQiLCJ1c2VySWQiOiI0MTIxMDA2ODkifQ==</vt:lpwstr>
  </property>
  <property fmtid="{D5CDD505-2E9C-101B-9397-08002B2CF9AE}" pid="3" name="KSOProductBuildVer">
    <vt:lpwstr>2052-12.1.0.21915</vt:lpwstr>
  </property>
  <property fmtid="{D5CDD505-2E9C-101B-9397-08002B2CF9AE}" pid="4" name="ICV">
    <vt:lpwstr>099595163D684DFA9B4C81159900A538_12</vt:lpwstr>
  </property>
</Properties>
</file>