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35E2E">
      <w:pPr>
        <w:jc w:val="center"/>
        <w:rPr>
          <w:rFonts w:ascii="仿宋" w:hAnsi="仿宋" w:eastAsia="仿宋" w:cs="仿宋"/>
          <w:b/>
          <w:color w:val="C00000"/>
          <w:sz w:val="28"/>
          <w:szCs w:val="28"/>
        </w:rPr>
      </w:pPr>
      <w:r>
        <w:rPr>
          <w:rFonts w:hint="eastAsia" w:ascii="仿宋" w:hAnsi="仿宋" w:eastAsia="仿宋" w:cs="仿宋"/>
          <w:b/>
          <w:sz w:val="28"/>
          <w:szCs w:val="28"/>
        </w:rPr>
        <w:t>工作室活动情况记录</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0"/>
        <w:gridCol w:w="2077"/>
        <w:gridCol w:w="2078"/>
        <w:gridCol w:w="2071"/>
      </w:tblGrid>
      <w:tr w14:paraId="4E35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tcPr>
          <w:p w14:paraId="01B0E920">
            <w:pPr>
              <w:spacing w:line="440" w:lineRule="exact"/>
              <w:jc w:val="center"/>
              <w:rPr>
                <w:rFonts w:ascii="仿宋" w:hAnsi="仿宋" w:eastAsia="仿宋" w:cs="仿宋"/>
                <w:sz w:val="22"/>
              </w:rPr>
            </w:pPr>
            <w:r>
              <w:rPr>
                <w:rFonts w:hint="eastAsia" w:ascii="仿宋" w:hAnsi="仿宋" w:eastAsia="仿宋" w:cs="仿宋"/>
                <w:sz w:val="22"/>
              </w:rPr>
              <w:t>时间</w:t>
            </w:r>
          </w:p>
        </w:tc>
        <w:tc>
          <w:tcPr>
            <w:tcW w:w="2077" w:type="dxa"/>
          </w:tcPr>
          <w:p w14:paraId="7AEC2A77">
            <w:pPr>
              <w:spacing w:line="440" w:lineRule="exact"/>
              <w:jc w:val="center"/>
              <w:rPr>
                <w:rFonts w:ascii="仿宋" w:hAnsi="仿宋" w:eastAsia="仿宋" w:cs="仿宋"/>
                <w:sz w:val="22"/>
              </w:rPr>
            </w:pPr>
            <w:r>
              <w:rPr>
                <w:rFonts w:hint="eastAsia" w:ascii="仿宋" w:hAnsi="仿宋" w:eastAsia="仿宋" w:cs="仿宋"/>
                <w:sz w:val="22"/>
              </w:rPr>
              <w:t>2024年11月1</w:t>
            </w:r>
            <w:r>
              <w:rPr>
                <w:rFonts w:hint="eastAsia" w:ascii="仿宋" w:hAnsi="仿宋" w:eastAsia="仿宋" w:cs="仿宋"/>
                <w:sz w:val="22"/>
                <w:lang w:val="en-US" w:eastAsia="zh-CN"/>
              </w:rPr>
              <w:t>5</w:t>
            </w:r>
            <w:bookmarkStart w:id="0" w:name="_GoBack"/>
            <w:bookmarkEnd w:id="0"/>
            <w:r>
              <w:rPr>
                <w:rFonts w:hint="eastAsia" w:ascii="仿宋" w:hAnsi="仿宋" w:eastAsia="仿宋" w:cs="仿宋"/>
                <w:sz w:val="22"/>
              </w:rPr>
              <w:t>日</w:t>
            </w:r>
          </w:p>
        </w:tc>
        <w:tc>
          <w:tcPr>
            <w:tcW w:w="2078" w:type="dxa"/>
          </w:tcPr>
          <w:p w14:paraId="51262020">
            <w:pPr>
              <w:spacing w:line="440" w:lineRule="exact"/>
              <w:jc w:val="center"/>
              <w:rPr>
                <w:rFonts w:ascii="仿宋" w:hAnsi="仿宋" w:eastAsia="仿宋" w:cs="仿宋"/>
                <w:sz w:val="22"/>
              </w:rPr>
            </w:pPr>
            <w:r>
              <w:rPr>
                <w:rFonts w:hint="eastAsia" w:ascii="仿宋" w:hAnsi="仿宋" w:eastAsia="仿宋" w:cs="仿宋"/>
                <w:sz w:val="22"/>
              </w:rPr>
              <w:t>地点</w:t>
            </w:r>
          </w:p>
        </w:tc>
        <w:tc>
          <w:tcPr>
            <w:tcW w:w="2071" w:type="dxa"/>
          </w:tcPr>
          <w:p w14:paraId="3EAB56FF">
            <w:pPr>
              <w:spacing w:line="440" w:lineRule="exact"/>
              <w:jc w:val="center"/>
              <w:rPr>
                <w:rFonts w:ascii="仿宋" w:hAnsi="仿宋" w:eastAsia="仿宋" w:cs="仿宋"/>
                <w:sz w:val="22"/>
              </w:rPr>
            </w:pPr>
            <w:r>
              <w:rPr>
                <w:rFonts w:hint="eastAsia" w:ascii="仿宋" w:hAnsi="仿宋" w:eastAsia="仿宋" w:cs="仿宋"/>
                <w:sz w:val="22"/>
              </w:rPr>
              <w:t>直播电商实训室</w:t>
            </w:r>
          </w:p>
        </w:tc>
      </w:tr>
      <w:tr w14:paraId="5EC8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tcPr>
          <w:p w14:paraId="6FBCBCB8">
            <w:pPr>
              <w:spacing w:line="440" w:lineRule="exact"/>
              <w:jc w:val="center"/>
              <w:rPr>
                <w:rFonts w:ascii="仿宋" w:hAnsi="仿宋" w:eastAsia="仿宋" w:cs="仿宋"/>
                <w:sz w:val="22"/>
              </w:rPr>
            </w:pPr>
            <w:r>
              <w:rPr>
                <w:rFonts w:hint="eastAsia" w:ascii="仿宋" w:hAnsi="仿宋" w:eastAsia="仿宋" w:cs="仿宋"/>
                <w:sz w:val="22"/>
              </w:rPr>
              <w:t>活动主题</w:t>
            </w:r>
          </w:p>
        </w:tc>
        <w:tc>
          <w:tcPr>
            <w:tcW w:w="6226" w:type="dxa"/>
            <w:gridSpan w:val="3"/>
          </w:tcPr>
          <w:p w14:paraId="4449D048">
            <w:pPr>
              <w:spacing w:line="440" w:lineRule="exact"/>
              <w:jc w:val="center"/>
              <w:rPr>
                <w:rFonts w:ascii="仿宋" w:hAnsi="仿宋" w:eastAsia="仿宋" w:cs="仿宋"/>
                <w:sz w:val="22"/>
              </w:rPr>
            </w:pPr>
            <w:r>
              <w:rPr>
                <w:rFonts w:hint="eastAsia" w:ascii="仿宋" w:hAnsi="仿宋" w:eastAsia="仿宋" w:cs="仿宋"/>
                <w:sz w:val="22"/>
              </w:rPr>
              <w:t>“南湖杯”直播销售教师赛项</w:t>
            </w:r>
          </w:p>
        </w:tc>
      </w:tr>
      <w:tr w14:paraId="1AA9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14:paraId="3F40A92D">
            <w:pPr>
              <w:spacing w:line="440" w:lineRule="exact"/>
              <w:jc w:val="center"/>
              <w:rPr>
                <w:rFonts w:ascii="仿宋" w:hAnsi="仿宋" w:eastAsia="仿宋" w:cs="仿宋"/>
                <w:sz w:val="22"/>
              </w:rPr>
            </w:pPr>
            <w:r>
              <w:rPr>
                <w:rFonts w:hint="eastAsia" w:ascii="仿宋" w:hAnsi="仿宋" w:eastAsia="仿宋" w:cs="仿宋"/>
                <w:sz w:val="22"/>
              </w:rPr>
              <w:t>活动主持</w:t>
            </w:r>
          </w:p>
        </w:tc>
        <w:tc>
          <w:tcPr>
            <w:tcW w:w="2077" w:type="dxa"/>
            <w:vAlign w:val="center"/>
          </w:tcPr>
          <w:p w14:paraId="2EA6E8F5">
            <w:pPr>
              <w:spacing w:line="440" w:lineRule="exact"/>
              <w:jc w:val="center"/>
              <w:rPr>
                <w:rFonts w:ascii="仿宋" w:hAnsi="仿宋" w:eastAsia="仿宋" w:cs="仿宋"/>
                <w:sz w:val="22"/>
              </w:rPr>
            </w:pPr>
            <w:r>
              <w:rPr>
                <w:rFonts w:hint="eastAsia" w:ascii="仿宋" w:hAnsi="仿宋" w:eastAsia="仿宋" w:cs="仿宋"/>
                <w:sz w:val="22"/>
              </w:rPr>
              <w:t>曹君</w:t>
            </w:r>
          </w:p>
        </w:tc>
        <w:tc>
          <w:tcPr>
            <w:tcW w:w="2078" w:type="dxa"/>
            <w:vAlign w:val="center"/>
          </w:tcPr>
          <w:p w14:paraId="5443CF07">
            <w:pPr>
              <w:spacing w:line="440" w:lineRule="exact"/>
              <w:jc w:val="center"/>
              <w:rPr>
                <w:rFonts w:ascii="仿宋" w:hAnsi="仿宋" w:eastAsia="仿宋" w:cs="仿宋"/>
                <w:sz w:val="22"/>
              </w:rPr>
            </w:pPr>
            <w:r>
              <w:rPr>
                <w:rFonts w:hint="eastAsia" w:ascii="仿宋" w:hAnsi="仿宋" w:eastAsia="仿宋" w:cs="仿宋"/>
                <w:sz w:val="22"/>
              </w:rPr>
              <w:t>活动形式</w:t>
            </w:r>
          </w:p>
          <w:p w14:paraId="486A1915">
            <w:pPr>
              <w:spacing w:line="440" w:lineRule="exact"/>
              <w:jc w:val="center"/>
              <w:rPr>
                <w:rFonts w:ascii="仿宋" w:hAnsi="仿宋" w:eastAsia="仿宋" w:cs="仿宋"/>
                <w:sz w:val="22"/>
              </w:rPr>
            </w:pPr>
            <w:r>
              <w:rPr>
                <w:rFonts w:hint="eastAsia" w:ascii="仿宋" w:hAnsi="仿宋" w:eastAsia="仿宋" w:cs="仿宋"/>
                <w:sz w:val="22"/>
              </w:rPr>
              <w:t>（下拉菜单）</w:t>
            </w:r>
          </w:p>
        </w:tc>
        <w:tc>
          <w:tcPr>
            <w:tcW w:w="2071" w:type="dxa"/>
            <w:vAlign w:val="center"/>
          </w:tcPr>
          <w:p w14:paraId="295116CB">
            <w:pPr>
              <w:spacing w:line="440" w:lineRule="exact"/>
              <w:jc w:val="center"/>
              <w:rPr>
                <w:rFonts w:ascii="仿宋" w:hAnsi="仿宋" w:eastAsia="仿宋" w:cs="仿宋"/>
                <w:sz w:val="22"/>
              </w:rPr>
            </w:pPr>
            <w:r>
              <w:rPr>
                <w:rFonts w:hint="eastAsia" w:ascii="仿宋" w:hAnsi="仿宋" w:eastAsia="仿宋" w:cs="仿宋"/>
                <w:sz w:val="22"/>
              </w:rPr>
              <w:t>□会议□讲座□会研讨□企业研修□个人研修</w:t>
            </w:r>
            <w:r>
              <w:rPr>
                <w:rFonts w:ascii="仿宋" w:hAnsi="仿宋" w:eastAsia="仿宋" w:cs="仿宋"/>
                <w:sz w:val="22"/>
                <w:bdr w:val="single" w:color="auto" w:sz="4" w:space="0"/>
              </w:rPr>
              <w:t>√</w:t>
            </w:r>
            <w:r>
              <w:rPr>
                <w:rFonts w:hint="eastAsia" w:ascii="仿宋" w:hAnsi="仿宋" w:eastAsia="仿宋" w:cs="仿宋"/>
                <w:sz w:val="22"/>
              </w:rPr>
              <w:t>公开教育教学活动</w:t>
            </w:r>
          </w:p>
          <w:p w14:paraId="26E42D42">
            <w:pPr>
              <w:spacing w:line="440" w:lineRule="exact"/>
              <w:jc w:val="center"/>
              <w:rPr>
                <w:rFonts w:ascii="仿宋" w:hAnsi="仿宋" w:eastAsia="仿宋" w:cs="仿宋"/>
                <w:sz w:val="22"/>
                <w:u w:val="single"/>
              </w:rPr>
            </w:pPr>
            <w:r>
              <w:rPr>
                <w:rFonts w:hint="eastAsia" w:ascii="仿宋" w:hAnsi="仿宋" w:eastAsia="仿宋" w:cs="仿宋"/>
                <w:sz w:val="22"/>
              </w:rPr>
              <w:t>□其他</w:t>
            </w:r>
          </w:p>
        </w:tc>
      </w:tr>
      <w:tr w14:paraId="4E66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070" w:type="dxa"/>
            <w:vAlign w:val="center"/>
          </w:tcPr>
          <w:p w14:paraId="61E6183A">
            <w:pPr>
              <w:spacing w:line="440" w:lineRule="exact"/>
              <w:jc w:val="center"/>
              <w:rPr>
                <w:rFonts w:ascii="仿宋" w:hAnsi="仿宋" w:eastAsia="仿宋" w:cs="仿宋"/>
                <w:sz w:val="22"/>
              </w:rPr>
            </w:pPr>
            <w:r>
              <w:rPr>
                <w:rFonts w:hint="eastAsia" w:ascii="仿宋" w:hAnsi="仿宋" w:eastAsia="仿宋" w:cs="仿宋"/>
                <w:sz w:val="22"/>
              </w:rPr>
              <w:t>活动参与人员</w:t>
            </w:r>
          </w:p>
        </w:tc>
        <w:tc>
          <w:tcPr>
            <w:tcW w:w="6226" w:type="dxa"/>
            <w:gridSpan w:val="3"/>
            <w:vAlign w:val="center"/>
          </w:tcPr>
          <w:p w14:paraId="533C611B">
            <w:pPr>
              <w:spacing w:line="440" w:lineRule="exact"/>
              <w:jc w:val="center"/>
              <w:rPr>
                <w:rFonts w:ascii="仿宋" w:hAnsi="仿宋" w:eastAsia="仿宋" w:cs="仿宋"/>
                <w:sz w:val="22"/>
              </w:rPr>
            </w:pPr>
            <w:r>
              <w:rPr>
                <w:rFonts w:hint="eastAsia" w:ascii="仿宋" w:hAnsi="仿宋" w:eastAsia="仿宋" w:cs="仿宋"/>
                <w:sz w:val="22"/>
              </w:rPr>
              <w:t>刁彬彬、邹文俊、王修远、杨楚瑶、</w:t>
            </w:r>
            <w:r>
              <w:rPr>
                <w:rFonts w:ascii="仿宋" w:hAnsi="仿宋" w:eastAsia="仿宋" w:cs="仿宋"/>
                <w:sz w:val="22"/>
              </w:rPr>
              <w:t>高幸成</w:t>
            </w:r>
          </w:p>
        </w:tc>
      </w:tr>
      <w:tr w14:paraId="15FF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3" w:hRule="atLeast"/>
        </w:trPr>
        <w:tc>
          <w:tcPr>
            <w:tcW w:w="2070" w:type="dxa"/>
            <w:vAlign w:val="center"/>
          </w:tcPr>
          <w:p w14:paraId="3F3ACCC1">
            <w:pPr>
              <w:spacing w:line="440" w:lineRule="exact"/>
              <w:jc w:val="center"/>
              <w:rPr>
                <w:rFonts w:ascii="仿宋" w:hAnsi="仿宋" w:eastAsia="仿宋" w:cs="仿宋"/>
                <w:sz w:val="22"/>
              </w:rPr>
            </w:pPr>
            <w:r>
              <w:rPr>
                <w:rFonts w:hint="eastAsia" w:ascii="仿宋" w:hAnsi="仿宋" w:eastAsia="仿宋" w:cs="仿宋"/>
                <w:sz w:val="22"/>
              </w:rPr>
              <w:t>活动主要内容</w:t>
            </w:r>
          </w:p>
        </w:tc>
        <w:tc>
          <w:tcPr>
            <w:tcW w:w="6226" w:type="dxa"/>
            <w:gridSpan w:val="3"/>
            <w:vAlign w:val="center"/>
          </w:tcPr>
          <w:p w14:paraId="723B11B0">
            <w:pPr>
              <w:spacing w:line="360" w:lineRule="auto"/>
              <w:jc w:val="left"/>
              <w:rPr>
                <w:rFonts w:hint="eastAsia" w:ascii="仿宋" w:hAnsi="仿宋" w:eastAsia="仿宋" w:cs="仿宋"/>
                <w:sz w:val="22"/>
              </w:rPr>
            </w:pPr>
            <w:r>
              <w:rPr>
                <w:rFonts w:hint="eastAsia" w:ascii="仿宋" w:hAnsi="仿宋" w:eastAsia="仿宋" w:cs="仿宋"/>
                <w:sz w:val="22"/>
              </w:rPr>
              <w:t>为更好提高工作室教师职业能力，以赛促教、以赛促学，特举办</w:t>
            </w:r>
            <w:r>
              <w:rPr>
                <w:rFonts w:ascii="仿宋" w:hAnsi="仿宋" w:eastAsia="仿宋" w:cs="仿宋"/>
                <w:sz w:val="22"/>
              </w:rPr>
              <w:t>第六届上海虹口新产业发展职教集团职业技能大赛暨第三届上海南职业技术学院“南湖杯”技能节</w:t>
            </w:r>
            <w:r>
              <w:rPr>
                <w:rFonts w:hint="eastAsia" w:ascii="仿宋" w:hAnsi="仿宋" w:eastAsia="仿宋" w:cs="仿宋"/>
                <w:sz w:val="22"/>
              </w:rPr>
              <w:t>直播销售教师赛项，由名师工作室主持人曹君组织，合作企业导师担任裁判，所有工作室教师参加比赛。现场共分为以下两个环节：</w:t>
            </w:r>
          </w:p>
          <w:p w14:paraId="4A00C1AC">
            <w:pPr>
              <w:spacing w:line="360" w:lineRule="auto"/>
              <w:jc w:val="left"/>
              <w:rPr>
                <w:rFonts w:hint="eastAsia" w:ascii="仿宋" w:hAnsi="仿宋" w:eastAsia="仿宋" w:cs="仿宋"/>
                <w:sz w:val="22"/>
              </w:rPr>
            </w:pPr>
            <w:r>
              <w:rPr>
                <w:rFonts w:hint="eastAsia" w:ascii="仿宋" w:hAnsi="仿宋" w:eastAsia="仿宋" w:cs="仿宋"/>
                <w:sz w:val="22"/>
              </w:rPr>
              <w:t>（一）笔试环节。根据产品信息撰写试卷，包括产品策划、价格、营销推广、直播流程、数据复盘几个部分。</w:t>
            </w:r>
          </w:p>
          <w:p w14:paraId="5244D1A7">
            <w:pPr>
              <w:spacing w:line="360" w:lineRule="auto"/>
              <w:jc w:val="left"/>
              <w:rPr>
                <w:rFonts w:hint="eastAsia" w:ascii="仿宋" w:hAnsi="仿宋" w:eastAsia="仿宋" w:cs="仿宋"/>
                <w:sz w:val="22"/>
              </w:rPr>
            </w:pPr>
            <w:r>
              <w:rPr>
                <w:rFonts w:hint="eastAsia" w:ascii="仿宋" w:hAnsi="仿宋" w:eastAsia="仿宋" w:cs="仿宋"/>
                <w:sz w:val="22"/>
              </w:rPr>
              <w:t>（二）实操环节。根据笔试内容，进行10分钟直播销售，直面镜头，涵盖从开播带下播的直播全流程。</w:t>
            </w:r>
          </w:p>
          <w:p w14:paraId="5BED4B36">
            <w:pPr>
              <w:spacing w:line="360" w:lineRule="auto"/>
              <w:jc w:val="left"/>
              <w:rPr>
                <w:rFonts w:ascii="仿宋" w:hAnsi="仿宋" w:eastAsia="仿宋" w:cs="仿宋"/>
                <w:sz w:val="22"/>
              </w:rPr>
            </w:pPr>
          </w:p>
          <w:p w14:paraId="4AB75005">
            <w:pPr>
              <w:spacing w:line="360" w:lineRule="auto"/>
              <w:jc w:val="left"/>
              <w:rPr>
                <w:rFonts w:ascii="仿宋" w:hAnsi="仿宋" w:eastAsia="仿宋" w:cs="仿宋"/>
                <w:sz w:val="22"/>
              </w:rPr>
            </w:pPr>
          </w:p>
          <w:p w14:paraId="071AA6D1">
            <w:pPr>
              <w:spacing w:line="360" w:lineRule="auto"/>
              <w:jc w:val="left"/>
              <w:rPr>
                <w:rFonts w:ascii="仿宋" w:hAnsi="仿宋" w:eastAsia="仿宋" w:cs="仿宋"/>
                <w:sz w:val="22"/>
              </w:rPr>
            </w:pPr>
          </w:p>
          <w:p w14:paraId="0CE2F7B4">
            <w:pPr>
              <w:spacing w:line="360" w:lineRule="auto"/>
              <w:jc w:val="left"/>
              <w:rPr>
                <w:rFonts w:ascii="仿宋" w:hAnsi="仿宋" w:eastAsia="仿宋" w:cs="仿宋"/>
                <w:sz w:val="22"/>
              </w:rPr>
            </w:pPr>
          </w:p>
          <w:p w14:paraId="3C5F2B81">
            <w:pPr>
              <w:spacing w:line="360" w:lineRule="auto"/>
              <w:jc w:val="left"/>
              <w:rPr>
                <w:rFonts w:hint="eastAsia" w:ascii="仿宋" w:hAnsi="仿宋" w:eastAsia="仿宋" w:cs="仿宋"/>
                <w:sz w:val="22"/>
              </w:rPr>
            </w:pPr>
          </w:p>
          <w:p w14:paraId="4BF1CADA">
            <w:pPr>
              <w:spacing w:line="360" w:lineRule="auto"/>
              <w:jc w:val="left"/>
              <w:rPr>
                <w:rFonts w:ascii="仿宋" w:hAnsi="仿宋" w:eastAsia="仿宋" w:cs="仿宋"/>
                <w:sz w:val="22"/>
              </w:rPr>
            </w:pPr>
          </w:p>
        </w:tc>
      </w:tr>
      <w:tr w14:paraId="35D7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2070" w:type="dxa"/>
            <w:vAlign w:val="center"/>
          </w:tcPr>
          <w:p w14:paraId="16C4C522">
            <w:pPr>
              <w:spacing w:line="440" w:lineRule="exact"/>
              <w:jc w:val="center"/>
              <w:rPr>
                <w:rFonts w:ascii="仿宋" w:hAnsi="仿宋" w:eastAsia="仿宋" w:cs="仿宋"/>
                <w:sz w:val="22"/>
              </w:rPr>
            </w:pPr>
            <w:r>
              <w:rPr>
                <w:rFonts w:hint="eastAsia" w:ascii="仿宋" w:hAnsi="仿宋" w:eastAsia="仿宋" w:cs="仿宋"/>
                <w:sz w:val="22"/>
              </w:rPr>
              <w:t>反思与体会</w:t>
            </w:r>
          </w:p>
        </w:tc>
        <w:tc>
          <w:tcPr>
            <w:tcW w:w="6226" w:type="dxa"/>
            <w:gridSpan w:val="3"/>
            <w:vAlign w:val="center"/>
          </w:tcPr>
          <w:p w14:paraId="15CB5DBB">
            <w:pPr>
              <w:spacing w:line="440" w:lineRule="exact"/>
              <w:rPr>
                <w:rFonts w:hint="eastAsia" w:ascii="仿宋" w:hAnsi="仿宋" w:eastAsia="仿宋" w:cs="仿宋"/>
                <w:sz w:val="22"/>
              </w:rPr>
            </w:pPr>
            <w:r>
              <w:rPr>
                <w:rFonts w:hint="eastAsia" w:ascii="仿宋" w:hAnsi="仿宋" w:eastAsia="仿宋" w:cs="仿宋"/>
                <w:sz w:val="22"/>
              </w:rPr>
              <w:t>比赛与技能学习和教学的感受有很大区别，比赛的紧张感促进了短时间内专业技能的集中提升。</w:t>
            </w:r>
          </w:p>
        </w:tc>
      </w:tr>
    </w:tbl>
    <w:p w14:paraId="538D81AB">
      <w:pPr>
        <w:rPr>
          <w:rFonts w:hint="eastAsia"/>
        </w:rPr>
      </w:pPr>
      <w:r>
        <w:rPr>
          <w:rFonts w:hint="eastAsia"/>
        </w:rPr>
        <w:drawing>
          <wp:inline distT="0" distB="0" distL="0" distR="0">
            <wp:extent cx="5274310" cy="3956050"/>
            <wp:effectExtent l="0" t="0" r="0" b="6350"/>
            <wp:docPr id="1764840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40806"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DC6"/>
    <w:rsid w:val="00105CC5"/>
    <w:rsid w:val="00161DFD"/>
    <w:rsid w:val="00211DC6"/>
    <w:rsid w:val="00247357"/>
    <w:rsid w:val="0029062F"/>
    <w:rsid w:val="002F34B3"/>
    <w:rsid w:val="00331A22"/>
    <w:rsid w:val="0034008B"/>
    <w:rsid w:val="0043751C"/>
    <w:rsid w:val="00551BF9"/>
    <w:rsid w:val="005E2BDB"/>
    <w:rsid w:val="00630F51"/>
    <w:rsid w:val="00683D93"/>
    <w:rsid w:val="006A0871"/>
    <w:rsid w:val="00742912"/>
    <w:rsid w:val="007F20E8"/>
    <w:rsid w:val="00831C20"/>
    <w:rsid w:val="008A3C74"/>
    <w:rsid w:val="00951DD5"/>
    <w:rsid w:val="00975D84"/>
    <w:rsid w:val="009925F3"/>
    <w:rsid w:val="00AF58C8"/>
    <w:rsid w:val="00BF5BC7"/>
    <w:rsid w:val="00C140B7"/>
    <w:rsid w:val="00C63D00"/>
    <w:rsid w:val="00DC6953"/>
    <w:rsid w:val="00E804F6"/>
    <w:rsid w:val="00EE7139"/>
    <w:rsid w:val="00F248DD"/>
    <w:rsid w:val="481E7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szCs w:val="24"/>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szCs w:val="24"/>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szCs w:val="24"/>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szCs w:val="24"/>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link w:val="22"/>
    <w:qFormat/>
    <w:uiPriority w:val="0"/>
    <w:rPr>
      <w:rFonts w:ascii="宋体" w:hAnsi="Courier New" w:eastAsia="宋体" w:cs="Times New Roman"/>
      <w:kern w:val="0"/>
      <w:sz w:val="20"/>
      <w:szCs w:val="20"/>
    </w:rPr>
  </w:style>
  <w:style w:type="paragraph" w:styleId="12">
    <w:name w:val="footer"/>
    <w:basedOn w:val="1"/>
    <w:link w:val="21"/>
    <w:qFormat/>
    <w:uiPriority w:val="0"/>
    <w:pPr>
      <w:tabs>
        <w:tab w:val="center" w:pos="4153"/>
        <w:tab w:val="right" w:pos="8306"/>
      </w:tabs>
      <w:snapToGrid w:val="0"/>
      <w:jc w:val="left"/>
    </w:pPr>
    <w:rPr>
      <w:rFonts w:ascii="Times New Roman" w:hAnsi="Times New Roman" w:eastAsia="宋体" w:cs="Times New Roman"/>
      <w:sz w:val="18"/>
      <w:szCs w:val="20"/>
    </w:rPr>
  </w:style>
  <w:style w:type="paragraph" w:styleId="13">
    <w:name w:val="header"/>
    <w:basedOn w:val="1"/>
    <w:link w:val="20"/>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style>
  <w:style w:type="character" w:customStyle="1" w:styleId="20">
    <w:name w:val="页眉 字符"/>
    <w:basedOn w:val="18"/>
    <w:link w:val="13"/>
    <w:qFormat/>
    <w:uiPriority w:val="0"/>
    <w:rPr>
      <w:kern w:val="2"/>
      <w:sz w:val="18"/>
      <w:szCs w:val="18"/>
    </w:rPr>
  </w:style>
  <w:style w:type="character" w:customStyle="1" w:styleId="21">
    <w:name w:val="页脚 字符"/>
    <w:basedOn w:val="18"/>
    <w:link w:val="12"/>
    <w:qFormat/>
    <w:uiPriority w:val="0"/>
    <w:rPr>
      <w:kern w:val="2"/>
      <w:sz w:val="18"/>
    </w:rPr>
  </w:style>
  <w:style w:type="character" w:customStyle="1" w:styleId="22">
    <w:name w:val="纯文本 字符"/>
    <w:link w:val="11"/>
    <w:qFormat/>
    <w:uiPriority w:val="0"/>
    <w:rPr>
      <w:rFonts w:ascii="宋体" w:hAnsi="Courier New"/>
    </w:rPr>
  </w:style>
  <w:style w:type="character" w:customStyle="1" w:styleId="23">
    <w:name w:val="标题 1 字符"/>
    <w:basedOn w:val="18"/>
    <w:link w:val="2"/>
    <w:qFormat/>
    <w:uiPriority w:val="9"/>
    <w:rPr>
      <w:rFonts w:asciiTheme="majorHAnsi" w:hAnsiTheme="majorHAnsi" w:eastAsiaTheme="majorEastAsia" w:cstheme="majorBidi"/>
      <w:color w:val="104862" w:themeColor="accent1" w:themeShade="BF"/>
      <w:kern w:val="2"/>
      <w:sz w:val="48"/>
      <w:szCs w:val="48"/>
    </w:rPr>
  </w:style>
  <w:style w:type="character" w:customStyle="1" w:styleId="24">
    <w:name w:val="标题 2 字符"/>
    <w:basedOn w:val="18"/>
    <w:link w:val="3"/>
    <w:semiHidden/>
    <w:qFormat/>
    <w:uiPriority w:val="9"/>
    <w:rPr>
      <w:rFonts w:asciiTheme="majorHAnsi" w:hAnsiTheme="majorHAnsi" w:eastAsiaTheme="majorEastAsia" w:cstheme="majorBidi"/>
      <w:color w:val="104862" w:themeColor="accent1" w:themeShade="BF"/>
      <w:kern w:val="2"/>
      <w:sz w:val="40"/>
      <w:szCs w:val="40"/>
    </w:rPr>
  </w:style>
  <w:style w:type="character" w:customStyle="1" w:styleId="25">
    <w:name w:val="标题 3 字符"/>
    <w:basedOn w:val="18"/>
    <w:link w:val="4"/>
    <w:semiHidden/>
    <w:qFormat/>
    <w:uiPriority w:val="9"/>
    <w:rPr>
      <w:rFonts w:asciiTheme="majorHAnsi" w:hAnsiTheme="majorHAnsi" w:eastAsiaTheme="majorEastAsia" w:cstheme="majorBidi"/>
      <w:color w:val="104862" w:themeColor="accent1" w:themeShade="BF"/>
      <w:kern w:val="2"/>
      <w:sz w:val="32"/>
      <w:szCs w:val="32"/>
    </w:rPr>
  </w:style>
  <w:style w:type="character" w:customStyle="1" w:styleId="26">
    <w:name w:val="标题 4 字符"/>
    <w:basedOn w:val="18"/>
    <w:link w:val="5"/>
    <w:semiHidden/>
    <w:qFormat/>
    <w:uiPriority w:val="9"/>
    <w:rPr>
      <w:rFonts w:asciiTheme="minorHAnsi" w:hAnsiTheme="minorHAnsi" w:eastAsiaTheme="minorEastAsia" w:cstheme="majorBidi"/>
      <w:color w:val="104862" w:themeColor="accent1" w:themeShade="BF"/>
      <w:kern w:val="2"/>
      <w:sz w:val="28"/>
      <w:szCs w:val="28"/>
    </w:rPr>
  </w:style>
  <w:style w:type="character" w:customStyle="1" w:styleId="27">
    <w:name w:val="标题 5 字符"/>
    <w:basedOn w:val="18"/>
    <w:link w:val="6"/>
    <w:semiHidden/>
    <w:qFormat/>
    <w:uiPriority w:val="9"/>
    <w:rPr>
      <w:rFonts w:asciiTheme="minorHAnsi" w:hAnsiTheme="minorHAnsi" w:eastAsiaTheme="minorEastAsia" w:cstheme="majorBidi"/>
      <w:color w:val="104862" w:themeColor="accent1" w:themeShade="BF"/>
      <w:kern w:val="2"/>
      <w:sz w:val="24"/>
      <w:szCs w:val="24"/>
    </w:rPr>
  </w:style>
  <w:style w:type="character" w:customStyle="1" w:styleId="28">
    <w:name w:val="标题 6 字符"/>
    <w:basedOn w:val="18"/>
    <w:link w:val="7"/>
    <w:semiHidden/>
    <w:qFormat/>
    <w:uiPriority w:val="9"/>
    <w:rPr>
      <w:rFonts w:asciiTheme="minorHAnsi" w:hAnsiTheme="minorHAnsi" w:eastAsiaTheme="minorEastAsia" w:cstheme="majorBidi"/>
      <w:b/>
      <w:bCs/>
      <w:color w:val="104862" w:themeColor="accent1" w:themeShade="BF"/>
      <w:kern w:val="2"/>
      <w:sz w:val="21"/>
      <w:szCs w:val="24"/>
    </w:rPr>
  </w:style>
  <w:style w:type="character" w:customStyle="1" w:styleId="29">
    <w:name w:val="标题 7 字符"/>
    <w:basedOn w:val="18"/>
    <w:link w:val="8"/>
    <w:semiHidden/>
    <w:qFormat/>
    <w:uiPriority w:val="9"/>
    <w:rPr>
      <w:rFonts w:asciiTheme="minorHAnsi" w:hAnsiTheme="minorHAnsi" w:eastAsiaTheme="minorEastAsia" w:cstheme="majorBidi"/>
      <w:b/>
      <w:bCs/>
      <w:color w:val="595959" w:themeColor="text1" w:themeTint="A6"/>
      <w:kern w:val="2"/>
      <w:sz w:val="21"/>
      <w:szCs w:val="24"/>
      <w14:textFill>
        <w14:solidFill>
          <w14:schemeClr w14:val="tx1">
            <w14:lumMod w14:val="65000"/>
            <w14:lumOff w14:val="35000"/>
          </w14:schemeClr>
        </w14:solidFill>
      </w14:textFill>
    </w:rPr>
  </w:style>
  <w:style w:type="character" w:customStyle="1" w:styleId="30">
    <w:name w:val="标题 8 字符"/>
    <w:basedOn w:val="18"/>
    <w:link w:val="9"/>
    <w:semiHidden/>
    <w:qFormat/>
    <w:uiPriority w:val="9"/>
    <w:rPr>
      <w:rFonts w:asciiTheme="minorHAnsi" w:hAnsiTheme="minorHAnsi" w:eastAsiaTheme="minorEastAsia" w:cstheme="majorBidi"/>
      <w:color w:val="595959" w:themeColor="text1" w:themeTint="A6"/>
      <w:kern w:val="2"/>
      <w:sz w:val="21"/>
      <w:szCs w:val="24"/>
      <w14:textFill>
        <w14:solidFill>
          <w14:schemeClr w14:val="tx1">
            <w14:lumMod w14:val="65000"/>
            <w14:lumOff w14:val="35000"/>
          </w14:schemeClr>
        </w14:solidFill>
      </w14:textFill>
    </w:rPr>
  </w:style>
  <w:style w:type="character" w:customStyle="1" w:styleId="31">
    <w:name w:val="标题 9 字符"/>
    <w:basedOn w:val="18"/>
    <w:link w:val="10"/>
    <w:semiHidden/>
    <w:qFormat/>
    <w:uiPriority w:val="9"/>
    <w:rPr>
      <w:rFonts w:asciiTheme="minorHAnsi" w:hAnsiTheme="minorHAnsi" w:eastAsiaTheme="majorEastAsia" w:cstheme="majorBidi"/>
      <w:color w:val="595959" w:themeColor="text1" w:themeTint="A6"/>
      <w:kern w:val="2"/>
      <w:sz w:val="21"/>
      <w:szCs w:val="24"/>
      <w14:textFill>
        <w14:solidFill>
          <w14:schemeClr w14:val="tx1">
            <w14:lumMod w14:val="65000"/>
            <w14:lumOff w14:val="35000"/>
          </w14:schemeClr>
        </w14:solidFill>
      </w14:textFill>
    </w:rPr>
  </w:style>
  <w:style w:type="character" w:customStyle="1" w:styleId="32">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8"/>
    <w:link w:val="14"/>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99"/>
    <w:pPr>
      <w:spacing w:before="160" w:after="160"/>
      <w:jc w:val="center"/>
    </w:pPr>
    <w:rPr>
      <w:rFonts w:ascii="Times New Roman" w:hAnsi="Times New Roman" w:eastAsia="宋体" w:cs="Times New Roman"/>
      <w:i/>
      <w:iCs/>
      <w:color w:val="404040" w:themeColor="text1" w:themeTint="BF"/>
      <w:szCs w:val="24"/>
      <w14:textFill>
        <w14:solidFill>
          <w14:schemeClr w14:val="tx1">
            <w14:lumMod w14:val="75000"/>
            <w14:lumOff w14:val="25000"/>
          </w14:schemeClr>
        </w14:solidFill>
      </w14:textFill>
    </w:rPr>
  </w:style>
  <w:style w:type="character" w:customStyle="1" w:styleId="35">
    <w:name w:val="引用 字符"/>
    <w:basedOn w:val="18"/>
    <w:link w:val="34"/>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paragraph" w:styleId="36">
    <w:name w:val="List Paragraph"/>
    <w:basedOn w:val="1"/>
    <w:qFormat/>
    <w:uiPriority w:val="99"/>
    <w:pPr>
      <w:ind w:left="720"/>
      <w:contextualSpacing/>
    </w:pPr>
    <w:rPr>
      <w:rFonts w:ascii="Times New Roman" w:hAnsi="Times New Roman" w:eastAsia="宋体" w:cs="Times New Roman"/>
      <w:szCs w:val="24"/>
    </w:rPr>
  </w:style>
  <w:style w:type="character" w:customStyle="1" w:styleId="37">
    <w:name w:val="Intense Emphasis"/>
    <w:basedOn w:val="18"/>
    <w:qFormat/>
    <w:uiPriority w:val="21"/>
    <w:rPr>
      <w:i/>
      <w:iCs/>
      <w:color w:val="104862" w:themeColor="accent1" w:themeShade="BF"/>
    </w:rPr>
  </w:style>
  <w:style w:type="paragraph" w:styleId="38">
    <w:name w:val="Intense Quote"/>
    <w:basedOn w:val="1"/>
    <w:next w:val="1"/>
    <w:link w:val="39"/>
    <w:qFormat/>
    <w:uiPriority w:val="99"/>
    <w:pPr>
      <w:pBdr>
        <w:top w:val="single" w:color="0F4761" w:themeColor="accent1" w:themeShade="BF" w:sz="4" w:space="10"/>
        <w:bottom w:val="single" w:color="0F4761" w:themeColor="accent1" w:themeShade="BF" w:sz="4" w:space="10"/>
      </w:pBdr>
      <w:spacing w:before="360" w:after="360"/>
      <w:ind w:left="864" w:right="864"/>
      <w:jc w:val="center"/>
    </w:pPr>
    <w:rPr>
      <w:rFonts w:ascii="Times New Roman" w:hAnsi="Times New Roman" w:eastAsia="宋体" w:cs="Times New Roman"/>
      <w:i/>
      <w:iCs/>
      <w:color w:val="104862" w:themeColor="accent1" w:themeShade="BF"/>
      <w:szCs w:val="24"/>
    </w:rPr>
  </w:style>
  <w:style w:type="character" w:customStyle="1" w:styleId="39">
    <w:name w:val="明显引用 字符"/>
    <w:basedOn w:val="18"/>
    <w:link w:val="38"/>
    <w:qFormat/>
    <w:uiPriority w:val="99"/>
    <w:rPr>
      <w:i/>
      <w:iCs/>
      <w:color w:val="104862" w:themeColor="accent1" w:themeShade="BF"/>
      <w:kern w:val="2"/>
      <w:sz w:val="21"/>
      <w:szCs w:val="24"/>
    </w:rPr>
  </w:style>
  <w:style w:type="character" w:customStyle="1" w:styleId="40">
    <w:name w:val="Intense Reference"/>
    <w:basedOn w:val="18"/>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391</Words>
  <Characters>397</Characters>
  <Lines>3</Lines>
  <Paragraphs>1</Paragraphs>
  <TotalTime>90</TotalTime>
  <ScaleCrop>false</ScaleCrop>
  <LinksUpToDate>false</LinksUpToDate>
  <CharactersWithSpaces>397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2024-10-27T10:16:00Z</dcterms:created>
  <dc:creator>office</dc:creator>
  <cp:lastModifiedBy>泯</cp:lastModifiedBy>
  <dcterms:modified xsi:type="dcterms:W3CDTF">2025-10-27T06:38:43Z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eyJoZGlkIjoiZDllN2NmZjZjMmI2MWZmY2QzZjdhZjM4ZmZiMDA3ZGUiLCJ1c2VySWQiOiIyNzk2NDgzNTgifQ==</vt:lpwstr>
  </property>
  <property fmtid="{D5CDD505-2E9C-101B-9397-08002B2CF9AE}" pid="3" name="KSOProductBuildVer">
    <vt:lpwstr>2052-12.1.0.22529</vt:lpwstr>
  </property>
  <property fmtid="{D5CDD505-2E9C-101B-9397-08002B2CF9AE}" pid="4" name="ICV">
    <vt:lpwstr>A55624452A7147F5BDE526DE9B379B51_12</vt:lpwstr>
  </property>
</Properties>
</file>