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FF3DD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10" w:lineRule="atLeast"/>
        <w:ind w:left="0" w:right="0" w:firstLine="0"/>
        <w:rPr>
          <w:rFonts w:hint="eastAsia" w:ascii="微软雅黑" w:hAnsi="微软雅黑" w:eastAsia="微软雅黑" w:cs="微软雅黑"/>
          <w:i w:val="0"/>
          <w:iCs w:val="0"/>
          <w:caps w:val="0"/>
          <w:spacing w:val="4"/>
          <w:sz w:val="21"/>
          <w:szCs w:val="21"/>
        </w:rPr>
      </w:pPr>
      <w:r>
        <w:rPr>
          <w:rFonts w:hint="eastAsia" w:ascii="微软雅黑" w:hAnsi="微软雅黑" w:eastAsia="微软雅黑" w:cs="微软雅黑"/>
          <w:i w:val="0"/>
          <w:iCs w:val="0"/>
          <w:caps w:val="0"/>
          <w:spacing w:val="4"/>
          <w:sz w:val="21"/>
          <w:szCs w:val="21"/>
          <w:shd w:val="clear" w:fill="FFFFFF"/>
        </w:rPr>
        <w:t>从黄浦江畔到雪域高原 沪青协作赋能果洛“土特产”出圈</w:t>
      </w:r>
      <w:r>
        <w:rPr>
          <w:rFonts w:hint="eastAsia" w:ascii="微软雅黑" w:hAnsi="微软雅黑" w:eastAsia="微软雅黑" w:cs="微软雅黑"/>
          <w:i w:val="0"/>
          <w:iCs w:val="0"/>
          <w:caps w:val="0"/>
          <w:spacing w:val="0"/>
          <w:sz w:val="21"/>
          <w:szCs w:val="21"/>
          <w:shd w:val="clear" w:fill="FFFFFF"/>
        </w:rPr>
        <w:t>——</w:t>
      </w:r>
      <w:r>
        <w:rPr>
          <w:rFonts w:hint="eastAsia" w:ascii="微软雅黑" w:hAnsi="微软雅黑" w:eastAsia="微软雅黑" w:cs="微软雅黑"/>
          <w:i w:val="0"/>
          <w:iCs w:val="0"/>
          <w:caps w:val="0"/>
          <w:spacing w:val="4"/>
          <w:sz w:val="21"/>
          <w:szCs w:val="21"/>
          <w:shd w:val="clear" w:fill="FFFFFF"/>
        </w:rPr>
        <w:t>对口支援新实践：从“输血”到“造血”的数智帮扶</w:t>
      </w:r>
    </w:p>
    <w:p w14:paraId="6F93909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4"/>
          <w:sz w:val="21"/>
          <w:szCs w:val="21"/>
        </w:rPr>
      </w:pPr>
      <w:bookmarkStart w:id="0" w:name="_GoBack"/>
      <w:bookmarkEnd w:id="0"/>
    </w:p>
    <w:p w14:paraId="0C15F266">
      <w:pPr>
        <w:pStyle w:val="3"/>
        <w:keepNext w:val="0"/>
        <w:keepLines w:val="0"/>
        <w:widowControl/>
        <w:suppressLineNumbers w:val="0"/>
        <w:spacing w:before="0" w:beforeAutospacing="0" w:after="0" w:afterAutospacing="0" w:line="368" w:lineRule="atLeast"/>
        <w:ind w:left="0" w:firstLine="0"/>
        <w:rPr>
          <w:rFonts w:hint="eastAsia" w:ascii="微软雅黑" w:hAnsi="微软雅黑" w:eastAsia="微软雅黑" w:cs="微软雅黑"/>
          <w:sz w:val="21"/>
          <w:szCs w:val="21"/>
        </w:rPr>
      </w:pPr>
      <w:r>
        <w:rPr>
          <w:rFonts w:hint="eastAsia" w:ascii="微软雅黑" w:hAnsi="微软雅黑" w:eastAsia="微软雅黑" w:cs="微软雅黑"/>
          <w:color w:val="262626"/>
          <w:spacing w:val="15"/>
          <w:sz w:val="21"/>
          <w:szCs w:val="21"/>
        </w:rPr>
        <w:t>为深入贯彻落实国家乡村振兴战略及东西部协作决策部署，9月1日至6日， “曹君名师工作室”电商专家团队时隔一年再次奔赴青海省果洛藏族自治州，开展新一轮“组团式”支援项目。这是继去年成功开展电子商务培训帮扶后，再次深入高原腹地，通过数字技术赋能农业发展，持续推动当地乡村振兴战略实施。</w:t>
      </w:r>
    </w:p>
    <w:p w14:paraId="7DDC102F">
      <w:pPr>
        <w:keepNext w:val="0"/>
        <w:keepLines w:val="0"/>
        <w:widowControl/>
        <w:suppressLineNumbers w:val="0"/>
        <w:jc w:val="left"/>
        <w:rPr>
          <w:rFonts w:hint="eastAsia" w:ascii="微软雅黑" w:hAnsi="微软雅黑" w:eastAsia="微软雅黑" w:cs="微软雅黑"/>
          <w:sz w:val="21"/>
          <w:szCs w:val="21"/>
        </w:rPr>
      </w:pPr>
      <w:r>
        <w:rPr>
          <w:rFonts w:hint="eastAsia" w:ascii="微软雅黑" w:hAnsi="微软雅黑" w:eastAsia="微软雅黑" w:cs="微软雅黑"/>
          <w:kern w:val="0"/>
          <w:sz w:val="21"/>
          <w:szCs w:val="21"/>
          <w:lang w:val="en-US" w:eastAsia="zh-CN" w:bidi="ar"/>
        </w:rPr>
        <w:br w:type="textWrapping"/>
      </w:r>
      <w:r>
        <w:rPr>
          <w:rFonts w:hint="eastAsia" w:ascii="微软雅黑" w:hAnsi="微软雅黑" w:eastAsia="微软雅黑" w:cs="微软雅黑"/>
          <w:kern w:val="0"/>
          <w:sz w:val="21"/>
          <w:szCs w:val="21"/>
          <w:vertAlign w:val="baseline"/>
          <w:lang w:val="en-US" w:eastAsia="zh-CN" w:bidi="ar"/>
        </w:rPr>
        <w:drawing>
          <wp:inline distT="0" distB="0" distL="114300" distR="114300">
            <wp:extent cx="5266690" cy="3950335"/>
            <wp:effectExtent l="0" t="0" r="3810" b="1206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266690" cy="3950335"/>
                    </a:xfrm>
                    <a:prstGeom prst="rect">
                      <a:avLst/>
                    </a:prstGeom>
                    <a:noFill/>
                    <a:ln w="9525">
                      <a:noFill/>
                    </a:ln>
                  </pic:spPr>
                </pic:pic>
              </a:graphicData>
            </a:graphic>
          </wp:inline>
        </w:drawing>
      </w:r>
    </w:p>
    <w:p w14:paraId="0A86D6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80"/>
        <w:jc w:val="both"/>
        <w:rPr>
          <w:rFonts w:hint="eastAsia" w:ascii="微软雅黑" w:hAnsi="微软雅黑" w:eastAsia="微软雅黑" w:cs="微软雅黑"/>
          <w:color w:val="262626"/>
          <w:sz w:val="21"/>
          <w:szCs w:val="21"/>
        </w:rPr>
      </w:pPr>
      <w:r>
        <w:rPr>
          <w:rFonts w:hint="eastAsia" w:ascii="微软雅黑" w:hAnsi="微软雅黑" w:eastAsia="微软雅黑" w:cs="微软雅黑"/>
          <w:color w:val="262626"/>
          <w:spacing w:val="15"/>
          <w:sz w:val="21"/>
          <w:szCs w:val="21"/>
        </w:rPr>
        <w:t>本次行动是践行教育赋能乡村振兴、深化对口帮扶长效机制的重要体现。果洛地区拥有牦牛肉、青稞、高原菌菇等优质农特产，但受限于传统销售模式，产品外销渠道狭窄。培训课程立足地方产品特色，紧扣数字经济新趋势，涵盖新媒体运营、AI辅助创作、短视频制作、直播带货技巧等实用内容，通过“理论+实操+复盘”的系统化教学模式，帮助学员快速掌握电商技能。</w:t>
      </w:r>
    </w:p>
    <w:p w14:paraId="36C45F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80"/>
        <w:jc w:val="both"/>
        <w:rPr>
          <w:rFonts w:hint="eastAsia" w:ascii="微软雅黑" w:hAnsi="微软雅黑" w:eastAsia="微软雅黑" w:cs="微软雅黑"/>
          <w:color w:val="262626"/>
          <w:sz w:val="21"/>
          <w:szCs w:val="21"/>
        </w:rPr>
      </w:pPr>
      <w:r>
        <w:rPr>
          <w:rFonts w:hint="eastAsia" w:ascii="微软雅黑" w:hAnsi="微软雅黑" w:eastAsia="微软雅黑" w:cs="微软雅黑"/>
          <w:color w:val="262626"/>
          <w:spacing w:val="15"/>
          <w:sz w:val="21"/>
          <w:szCs w:val="21"/>
        </w:rPr>
        <w:t>面对海拔4300米高原环境的严峻挑战，团队成员克服头痛、失眠等高原反应，坚持投入高强度培训工作，相互搭台，采用台上授课和台下指导相结合的方式，保证每日6小时以上的高质量授课，在缺氧环境下始终保持饱满的工作热情，确保了培训计划的顺利实施，用实际行动诠释教育援青的责任担当。</w:t>
      </w:r>
    </w:p>
    <w:p w14:paraId="25C2CCBA">
      <w:pPr>
        <w:keepNext w:val="0"/>
        <w:keepLines w:val="0"/>
        <w:widowControl/>
        <w:suppressLineNumbers w:val="0"/>
        <w:jc w:val="left"/>
        <w:rPr>
          <w:rFonts w:hint="eastAsia" w:ascii="微软雅黑" w:hAnsi="微软雅黑" w:eastAsia="微软雅黑" w:cs="微软雅黑"/>
          <w:sz w:val="21"/>
          <w:szCs w:val="21"/>
        </w:rPr>
      </w:pPr>
      <w:r>
        <w:rPr>
          <w:rFonts w:hint="eastAsia" w:ascii="微软雅黑" w:hAnsi="微软雅黑" w:eastAsia="微软雅黑" w:cs="微软雅黑"/>
          <w:kern w:val="0"/>
          <w:sz w:val="21"/>
          <w:szCs w:val="21"/>
          <w:lang w:val="en-US" w:eastAsia="zh-CN" w:bidi="ar"/>
        </w:rPr>
        <w:t>·</w:t>
      </w:r>
      <w:r>
        <w:rPr>
          <w:rFonts w:hint="eastAsia" w:ascii="微软雅黑" w:hAnsi="微软雅黑" w:eastAsia="微软雅黑" w:cs="微软雅黑"/>
          <w:kern w:val="0"/>
          <w:sz w:val="21"/>
          <w:szCs w:val="21"/>
          <w:lang w:val="en-US" w:eastAsia="zh-CN" w:bidi="ar"/>
        </w:rPr>
        <w:drawing>
          <wp:inline distT="0" distB="0" distL="114300" distR="114300">
            <wp:extent cx="5271135" cy="3516630"/>
            <wp:effectExtent l="0" t="0" r="12065" b="1270"/>
            <wp:docPr id="6"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5"/>
                    <a:stretch>
                      <a:fillRect/>
                    </a:stretch>
                  </pic:blipFill>
                  <pic:spPr>
                    <a:xfrm>
                      <a:off x="0" y="0"/>
                      <a:ext cx="5271135" cy="3516630"/>
                    </a:xfrm>
                    <a:prstGeom prst="rect">
                      <a:avLst/>
                    </a:prstGeom>
                    <a:noFill/>
                    <a:ln w="9525">
                      <a:noFill/>
                    </a:ln>
                  </pic:spPr>
                </pic:pic>
              </a:graphicData>
            </a:graphic>
          </wp:inline>
        </w:drawing>
      </w:r>
      <w:r>
        <w:rPr>
          <w:rFonts w:hint="eastAsia" w:ascii="微软雅黑" w:hAnsi="微软雅黑" w:eastAsia="微软雅黑" w:cs="微软雅黑"/>
          <w:kern w:val="0"/>
          <w:sz w:val="21"/>
          <w:szCs w:val="21"/>
          <w:lang w:val="en-US" w:eastAsia="zh-CN" w:bidi="ar"/>
        </w:rPr>
        <w:drawing>
          <wp:inline distT="0" distB="0" distL="114300" distR="114300">
            <wp:extent cx="5268595" cy="3956050"/>
            <wp:effectExtent l="0" t="0" r="1905" b="6350"/>
            <wp:docPr id="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6"/>
                    <a:stretch>
                      <a:fillRect/>
                    </a:stretch>
                  </pic:blipFill>
                  <pic:spPr>
                    <a:xfrm>
                      <a:off x="0" y="0"/>
                      <a:ext cx="5268595" cy="3956050"/>
                    </a:xfrm>
                    <a:prstGeom prst="rect">
                      <a:avLst/>
                    </a:prstGeom>
                    <a:noFill/>
                    <a:ln w="9525">
                      <a:noFill/>
                    </a:ln>
                  </pic:spPr>
                </pic:pic>
              </a:graphicData>
            </a:graphic>
          </wp:inline>
        </w:drawing>
      </w:r>
      <w:r>
        <w:rPr>
          <w:rFonts w:hint="eastAsia" w:ascii="微软雅黑" w:hAnsi="微软雅黑" w:eastAsia="微软雅黑" w:cs="微软雅黑"/>
          <w:kern w:val="0"/>
          <w:sz w:val="21"/>
          <w:szCs w:val="21"/>
          <w:lang w:val="en-US" w:eastAsia="zh-CN" w:bidi="ar"/>
        </w:rPr>
        <w:drawing>
          <wp:inline distT="0" distB="0" distL="114300" distR="114300">
            <wp:extent cx="5270500" cy="3513455"/>
            <wp:effectExtent l="0" t="0" r="0" b="4445"/>
            <wp:docPr id="7"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9"/>
                    <pic:cNvPicPr>
                      <a:picLocks noChangeAspect="1"/>
                    </pic:cNvPicPr>
                  </pic:nvPicPr>
                  <pic:blipFill>
                    <a:blip r:embed="rId7"/>
                    <a:stretch>
                      <a:fillRect/>
                    </a:stretch>
                  </pic:blipFill>
                  <pic:spPr>
                    <a:xfrm>
                      <a:off x="0" y="0"/>
                      <a:ext cx="5270500" cy="3513455"/>
                    </a:xfrm>
                    <a:prstGeom prst="rect">
                      <a:avLst/>
                    </a:prstGeom>
                    <a:noFill/>
                    <a:ln w="9525">
                      <a:noFill/>
                    </a:ln>
                  </pic:spPr>
                </pic:pic>
              </a:graphicData>
            </a:graphic>
          </wp:inline>
        </w:drawing>
      </w:r>
      <w:r>
        <w:rPr>
          <w:rFonts w:hint="eastAsia" w:ascii="微软雅黑" w:hAnsi="微软雅黑" w:eastAsia="微软雅黑" w:cs="微软雅黑"/>
          <w:kern w:val="0"/>
          <w:sz w:val="21"/>
          <w:szCs w:val="21"/>
          <w:lang w:val="en-US" w:eastAsia="zh-CN" w:bidi="ar"/>
        </w:rPr>
        <w:drawing>
          <wp:inline distT="0" distB="0" distL="114300" distR="114300">
            <wp:extent cx="5271135" cy="3950970"/>
            <wp:effectExtent l="0" t="0" r="12065" b="11430"/>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60"/>
                    <pic:cNvPicPr>
                      <a:picLocks noChangeAspect="1"/>
                    </pic:cNvPicPr>
                  </pic:nvPicPr>
                  <pic:blipFill>
                    <a:blip r:embed="rId8"/>
                    <a:stretch>
                      <a:fillRect/>
                    </a:stretch>
                  </pic:blipFill>
                  <pic:spPr>
                    <a:xfrm>
                      <a:off x="0" y="0"/>
                      <a:ext cx="5271135" cy="3950970"/>
                    </a:xfrm>
                    <a:prstGeom prst="rect">
                      <a:avLst/>
                    </a:prstGeom>
                    <a:noFill/>
                    <a:ln w="9525">
                      <a:noFill/>
                    </a:ln>
                  </pic:spPr>
                </pic:pic>
              </a:graphicData>
            </a:graphic>
          </wp:inline>
        </w:drawing>
      </w:r>
      <w:r>
        <w:rPr>
          <w:rFonts w:hint="eastAsia" w:ascii="微软雅黑" w:hAnsi="微软雅黑" w:eastAsia="微软雅黑" w:cs="微软雅黑"/>
          <w:kern w:val="0"/>
          <w:sz w:val="21"/>
          <w:szCs w:val="21"/>
          <w:lang w:val="en-US" w:eastAsia="zh-CN" w:bidi="ar"/>
        </w:rPr>
        <w:drawing>
          <wp:inline distT="0" distB="0" distL="114300" distR="114300">
            <wp:extent cx="5273675" cy="3955415"/>
            <wp:effectExtent l="0" t="0" r="9525" b="6985"/>
            <wp:docPr id="9"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IMG_261"/>
                    <pic:cNvPicPr>
                      <a:picLocks noChangeAspect="1"/>
                    </pic:cNvPicPr>
                  </pic:nvPicPr>
                  <pic:blipFill>
                    <a:blip r:embed="rId9"/>
                    <a:stretch>
                      <a:fillRect/>
                    </a:stretch>
                  </pic:blipFill>
                  <pic:spPr>
                    <a:xfrm>
                      <a:off x="0" y="0"/>
                      <a:ext cx="5273675" cy="3955415"/>
                    </a:xfrm>
                    <a:prstGeom prst="rect">
                      <a:avLst/>
                    </a:prstGeom>
                    <a:noFill/>
                    <a:ln w="9525">
                      <a:noFill/>
                    </a:ln>
                  </pic:spPr>
                </pic:pic>
              </a:graphicData>
            </a:graphic>
          </wp:inline>
        </w:drawing>
      </w:r>
      <w:r>
        <w:rPr>
          <w:rFonts w:hint="eastAsia" w:ascii="微软雅黑" w:hAnsi="微软雅黑" w:eastAsia="微软雅黑" w:cs="微软雅黑"/>
          <w:kern w:val="0"/>
          <w:sz w:val="21"/>
          <w:szCs w:val="21"/>
          <w:lang w:val="en-US" w:eastAsia="zh-CN" w:bidi="ar"/>
        </w:rPr>
        <w:drawing>
          <wp:inline distT="0" distB="0" distL="114300" distR="114300">
            <wp:extent cx="5269865" cy="3954780"/>
            <wp:effectExtent l="0" t="0" r="635" b="7620"/>
            <wp:docPr id="4"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IMG_262"/>
                    <pic:cNvPicPr>
                      <a:picLocks noChangeAspect="1"/>
                    </pic:cNvPicPr>
                  </pic:nvPicPr>
                  <pic:blipFill>
                    <a:blip r:embed="rId10"/>
                    <a:stretch>
                      <a:fillRect/>
                    </a:stretch>
                  </pic:blipFill>
                  <pic:spPr>
                    <a:xfrm>
                      <a:off x="0" y="0"/>
                      <a:ext cx="5269865" cy="3954780"/>
                    </a:xfrm>
                    <a:prstGeom prst="rect">
                      <a:avLst/>
                    </a:prstGeom>
                    <a:noFill/>
                    <a:ln w="9525">
                      <a:noFill/>
                    </a:ln>
                  </pic:spPr>
                </pic:pic>
              </a:graphicData>
            </a:graphic>
          </wp:inline>
        </w:drawing>
      </w:r>
      <w:r>
        <w:rPr>
          <w:rFonts w:hint="eastAsia" w:ascii="微软雅黑" w:hAnsi="微软雅黑" w:eastAsia="微软雅黑" w:cs="微软雅黑"/>
          <w:kern w:val="0"/>
          <w:sz w:val="21"/>
          <w:szCs w:val="21"/>
          <w:lang w:val="en-US" w:eastAsia="zh-CN" w:bidi="ar"/>
        </w:rPr>
        <w:drawing>
          <wp:inline distT="0" distB="0" distL="114300" distR="114300">
            <wp:extent cx="5269865" cy="3512820"/>
            <wp:effectExtent l="0" t="0" r="635" b="5080"/>
            <wp:docPr id="3"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descr="IMG_263"/>
                    <pic:cNvPicPr>
                      <a:picLocks noChangeAspect="1"/>
                    </pic:cNvPicPr>
                  </pic:nvPicPr>
                  <pic:blipFill>
                    <a:blip r:embed="rId11"/>
                    <a:stretch>
                      <a:fillRect/>
                    </a:stretch>
                  </pic:blipFill>
                  <pic:spPr>
                    <a:xfrm>
                      <a:off x="0" y="0"/>
                      <a:ext cx="5269865" cy="3512820"/>
                    </a:xfrm>
                    <a:prstGeom prst="rect">
                      <a:avLst/>
                    </a:prstGeom>
                    <a:noFill/>
                    <a:ln w="9525">
                      <a:noFill/>
                    </a:ln>
                  </pic:spPr>
                </pic:pic>
              </a:graphicData>
            </a:graphic>
          </wp:inline>
        </w:drawing>
      </w:r>
    </w:p>
    <w:p w14:paraId="7301EC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80"/>
        <w:jc w:val="both"/>
        <w:rPr>
          <w:rFonts w:hint="eastAsia" w:ascii="微软雅黑" w:hAnsi="微软雅黑" w:eastAsia="微软雅黑" w:cs="微软雅黑"/>
          <w:vanish/>
          <w:sz w:val="21"/>
          <w:szCs w:val="21"/>
        </w:rPr>
      </w:pPr>
      <w:r>
        <w:rPr>
          <w:rFonts w:hint="eastAsia" w:ascii="微软雅黑" w:hAnsi="微软雅黑" w:eastAsia="微软雅黑" w:cs="微软雅黑"/>
          <w:color w:val="262626"/>
          <w:spacing w:val="15"/>
          <w:sz w:val="21"/>
          <w:szCs w:val="21"/>
        </w:rPr>
        <w:t>团队专门组织模拟直播带货实操，学员纷纷展示所学技能，获得精彩表现。许多学员从最初面对镜头的生涩紧张，到最终能从容完成产品推介，实现了从传统农牧民到数字化新农人的转变。</w:t>
      </w:r>
    </w:p>
    <w:p w14:paraId="163BFB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80"/>
        <w:jc w:val="both"/>
        <w:rPr>
          <w:rFonts w:hint="eastAsia" w:ascii="微软雅黑" w:hAnsi="微软雅黑" w:eastAsia="微软雅黑" w:cs="微软雅黑"/>
          <w:color w:val="262626"/>
          <w:sz w:val="21"/>
          <w:szCs w:val="21"/>
        </w:rPr>
      </w:pPr>
      <w:r>
        <w:rPr>
          <w:rFonts w:hint="eastAsia" w:ascii="微软雅黑" w:hAnsi="微软雅黑" w:eastAsia="微软雅黑" w:cs="微软雅黑"/>
          <w:color w:val="262626"/>
          <w:spacing w:val="15"/>
          <w:sz w:val="21"/>
          <w:szCs w:val="21"/>
        </w:rPr>
        <w:t>为进一步巩固帮扶成效，团队专程回访了去年参训学员代表——“山下咖啡”主理人，检验培训效果的同时，深入了解当地需求。该品牌通过电商直播成功打开市场，成为我校“组团式”支援可持续性的生动见证。</w:t>
      </w:r>
    </w:p>
    <w:p w14:paraId="7A3342DD">
      <w:pPr>
        <w:keepNext w:val="0"/>
        <w:keepLines w:val="0"/>
        <w:widowControl/>
        <w:suppressLineNumbers w:val="0"/>
        <w:jc w:val="left"/>
        <w:rPr>
          <w:rFonts w:hint="eastAsia" w:ascii="微软雅黑" w:hAnsi="微软雅黑" w:eastAsia="微软雅黑" w:cs="微软雅黑"/>
          <w:sz w:val="21"/>
          <w:szCs w:val="21"/>
        </w:rPr>
      </w:pPr>
      <w:r>
        <w:rPr>
          <w:rFonts w:hint="eastAsia" w:ascii="微软雅黑" w:hAnsi="微软雅黑" w:eastAsia="微软雅黑" w:cs="微软雅黑"/>
          <w:kern w:val="0"/>
          <w:sz w:val="21"/>
          <w:szCs w:val="21"/>
          <w:vertAlign w:val="baseline"/>
          <w:lang w:val="en-US" w:eastAsia="zh-CN" w:bidi="ar"/>
        </w:rPr>
        <w:drawing>
          <wp:inline distT="0" distB="0" distL="114300" distR="114300">
            <wp:extent cx="3952875" cy="5276850"/>
            <wp:effectExtent l="0" t="0" r="9525" b="6350"/>
            <wp:docPr id="11" name="图片 11"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65"/>
                    <pic:cNvPicPr>
                      <a:picLocks noChangeAspect="1"/>
                    </pic:cNvPicPr>
                  </pic:nvPicPr>
                  <pic:blipFill>
                    <a:blip r:embed="rId12"/>
                    <a:stretch>
                      <a:fillRect/>
                    </a:stretch>
                  </pic:blipFill>
                  <pic:spPr>
                    <a:xfrm>
                      <a:off x="0" y="0"/>
                      <a:ext cx="3952875" cy="5276850"/>
                    </a:xfrm>
                    <a:prstGeom prst="rect">
                      <a:avLst/>
                    </a:prstGeom>
                    <a:noFill/>
                    <a:ln w="9525">
                      <a:noFill/>
                    </a:ln>
                  </pic:spPr>
                </pic:pic>
              </a:graphicData>
            </a:graphic>
          </wp:inline>
        </w:drawing>
      </w:r>
    </w:p>
    <w:p w14:paraId="1CB3EC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80"/>
        <w:jc w:val="both"/>
        <w:rPr>
          <w:rFonts w:hint="eastAsia" w:ascii="微软雅黑" w:hAnsi="微软雅黑" w:eastAsia="微软雅黑" w:cs="微软雅黑"/>
          <w:color w:val="262626"/>
          <w:sz w:val="21"/>
          <w:szCs w:val="21"/>
        </w:rPr>
      </w:pPr>
      <w:r>
        <w:rPr>
          <w:rFonts w:hint="eastAsia" w:ascii="微软雅黑" w:hAnsi="微软雅黑" w:eastAsia="微软雅黑" w:cs="微软雅黑"/>
          <w:color w:val="262626"/>
          <w:spacing w:val="15"/>
          <w:sz w:val="21"/>
          <w:szCs w:val="21"/>
        </w:rPr>
        <w:t>智慧商旅系主任、名师工作室主持人曹君表示：“对口支援重在持续发力。我们不仅要带来技能，更要陪伴成长，帮助当地培育一支带不走的电商人才队伍。”此次援青行动通过“数字赋能+长效陪伴”的创新模式，着力构建“培训-实践-产业”一体化支持体系，为果洛农业现代化注入了新动能。</w:t>
      </w:r>
    </w:p>
    <w:p w14:paraId="41C77C50">
      <w:pPr>
        <w:keepNext w:val="0"/>
        <w:keepLines w:val="0"/>
        <w:widowControl/>
        <w:suppressLineNumbers w:val="0"/>
        <w:jc w:val="left"/>
        <w:rPr>
          <w:rFonts w:hint="eastAsia" w:ascii="微软雅黑" w:hAnsi="微软雅黑" w:eastAsia="微软雅黑" w:cs="微软雅黑"/>
          <w:sz w:val="21"/>
          <w:szCs w:val="21"/>
        </w:rPr>
      </w:pPr>
      <w:r>
        <w:rPr>
          <w:rFonts w:hint="eastAsia" w:ascii="微软雅黑" w:hAnsi="微软雅黑" w:eastAsia="微软雅黑" w:cs="微软雅黑"/>
          <w:kern w:val="0"/>
          <w:sz w:val="21"/>
          <w:szCs w:val="21"/>
          <w:vertAlign w:val="baseline"/>
          <w:lang w:val="en-US" w:eastAsia="zh-CN" w:bidi="ar"/>
        </w:rPr>
        <w:drawing>
          <wp:inline distT="0" distB="0" distL="114300" distR="114300">
            <wp:extent cx="5266690" cy="3950335"/>
            <wp:effectExtent l="0" t="0" r="3810" b="12065"/>
            <wp:docPr id="10" name="图片 12"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 descr="IMG_266"/>
                    <pic:cNvPicPr>
                      <a:picLocks noChangeAspect="1"/>
                    </pic:cNvPicPr>
                  </pic:nvPicPr>
                  <pic:blipFill>
                    <a:blip r:embed="rId13"/>
                    <a:stretch>
                      <a:fillRect/>
                    </a:stretch>
                  </pic:blipFill>
                  <pic:spPr>
                    <a:xfrm>
                      <a:off x="0" y="0"/>
                      <a:ext cx="5266690" cy="3950335"/>
                    </a:xfrm>
                    <a:prstGeom prst="rect">
                      <a:avLst/>
                    </a:prstGeom>
                    <a:noFill/>
                    <a:ln w="9525">
                      <a:noFill/>
                    </a:ln>
                  </pic:spPr>
                </pic:pic>
              </a:graphicData>
            </a:graphic>
          </wp:inline>
        </w:drawing>
      </w:r>
    </w:p>
    <w:p w14:paraId="046D4A1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80"/>
        <w:jc w:val="both"/>
        <w:rPr>
          <w:rFonts w:hint="eastAsia" w:ascii="微软雅黑" w:hAnsi="微软雅黑" w:eastAsia="微软雅黑" w:cs="微软雅黑"/>
          <w:i w:val="0"/>
          <w:iCs w:val="0"/>
          <w:caps w:val="0"/>
          <w:spacing w:val="4"/>
          <w:sz w:val="21"/>
          <w:szCs w:val="21"/>
          <w:shd w:val="clear" w:fill="FFFFFF"/>
        </w:rPr>
      </w:pPr>
      <w:r>
        <w:rPr>
          <w:rFonts w:hint="eastAsia" w:ascii="微软雅黑" w:hAnsi="微软雅黑" w:eastAsia="微软雅黑" w:cs="微软雅黑"/>
          <w:color w:val="262626"/>
          <w:spacing w:val="15"/>
          <w:sz w:val="21"/>
          <w:szCs w:val="21"/>
        </w:rPr>
        <w:t>市委书记陈吉宁在刚刚开幕的第八届上海市对口地区特色商品展销会中提到，“要携手对口地区谋划好‘土特产’的大文章，把产业协作做深入、把消费帮扶做扎实、把特色品牌打造好。”未来将继续深化“高校-地方”协同机制，围绕电商助农、技术培训、资源对接等方面开展深度合作，推动对口支援从“输血”向“造血”转变，为乡村振兴贡献智慧与力量。</w:t>
      </w:r>
    </w:p>
    <w:p w14:paraId="6030643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385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2025-10-27T16:55:05Z</dcterms:created>
  <dc:creator>zyd</dc:creator>
  <cp:lastModifiedBy>泯</cp:lastModifiedBy>
  <dcterms:modified xsi:type="dcterms:W3CDTF">2025-10-27T16:55:34Z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eyJoZGlkIjoiZDllN2NmZjZjMmI2MWZmY2QzZjdhZjM4ZmZiMDA3ZGUiLCJ1c2VySWQiOiIyNzk2NDgzNTgifQ==</vt:lpwstr>
  </property>
  <property fmtid="{D5CDD505-2E9C-101B-9397-08002B2CF9AE}" pid="4" name="ICV">
    <vt:lpwstr>FCF6786763864DF1B668B42FF808CD86_12</vt:lpwstr>
  </property>
</Properties>
</file>