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42BEA" w14:textId="77777777" w:rsidR="000E5C4C" w:rsidRPr="000E5C4C" w:rsidRDefault="000E5C4C" w:rsidP="000E5C4C">
      <w:pPr>
        <w:widowControl/>
        <w:jc w:val="center"/>
        <w:outlineLvl w:val="0"/>
        <w:rPr>
          <w:rFonts w:ascii="微软雅黑" w:eastAsia="微软雅黑" w:hAnsi="微软雅黑" w:cs="宋体"/>
          <w:b/>
          <w:bCs/>
          <w:color w:val="000000"/>
          <w:kern w:val="36"/>
          <w:sz w:val="48"/>
          <w:szCs w:val="48"/>
        </w:rPr>
      </w:pPr>
      <w:r w:rsidRPr="000E5C4C">
        <w:rPr>
          <w:rFonts w:ascii="微软雅黑" w:eastAsia="微软雅黑" w:hAnsi="微软雅黑" w:cs="宋体" w:hint="eastAsia"/>
          <w:b/>
          <w:bCs/>
          <w:color w:val="000000"/>
          <w:kern w:val="36"/>
          <w:sz w:val="48"/>
          <w:szCs w:val="48"/>
        </w:rPr>
        <w:t>市商务委 市文化旅游局 市体育局 市财政局 市公安局 市绿化市容局 市政府外办 市税务局关于印发《上海市进一步促进商旅文体展联动吸引扩大消费的若干措施》的通知 </w:t>
      </w:r>
    </w:p>
    <w:p w14:paraId="65256761" w14:textId="77777777" w:rsidR="000E5C4C" w:rsidRPr="000E5C4C" w:rsidRDefault="000E5C4C" w:rsidP="000E5C4C">
      <w:pPr>
        <w:widowControl/>
        <w:jc w:val="center"/>
        <w:outlineLvl w:val="1"/>
        <w:rPr>
          <w:rFonts w:ascii="微软雅黑" w:eastAsia="微软雅黑" w:hAnsi="微软雅黑" w:cs="宋体"/>
          <w:color w:val="000000"/>
          <w:kern w:val="0"/>
          <w:sz w:val="36"/>
          <w:szCs w:val="36"/>
        </w:rPr>
      </w:pPr>
      <w:r w:rsidRPr="000E5C4C">
        <w:rPr>
          <w:rFonts w:ascii="微软雅黑" w:eastAsia="微软雅黑" w:hAnsi="微软雅黑" w:cs="宋体" w:hint="eastAsia"/>
          <w:color w:val="000000"/>
          <w:kern w:val="0"/>
          <w:sz w:val="36"/>
          <w:szCs w:val="36"/>
        </w:rPr>
        <w:t>发布日期（2024-04-26）</w:t>
      </w:r>
    </w:p>
    <w:p w14:paraId="66FBD6FE" w14:textId="77777777" w:rsidR="000E5C4C" w:rsidRPr="000E5C4C" w:rsidRDefault="000E5C4C" w:rsidP="000E5C4C">
      <w:pPr>
        <w:widowControl/>
        <w:spacing w:line="420" w:lineRule="atLeast"/>
        <w:jc w:val="center"/>
        <w:rPr>
          <w:rFonts w:ascii="微软雅黑" w:eastAsia="微软雅黑" w:hAnsi="微软雅黑" w:cs="宋体"/>
          <w:color w:val="000000"/>
          <w:kern w:val="0"/>
          <w:szCs w:val="21"/>
        </w:rPr>
      </w:pPr>
      <w:r w:rsidRPr="000E5C4C">
        <w:rPr>
          <w:rFonts w:ascii="仿宋_GB2312" w:eastAsia="仿宋_GB2312" w:hAnsi="仿宋_GB2312" w:cs="宋体" w:hint="eastAsia"/>
          <w:color w:val="000000"/>
          <w:spacing w:val="4"/>
          <w:kern w:val="0"/>
          <w:sz w:val="32"/>
          <w:szCs w:val="32"/>
        </w:rPr>
        <w:t>沪商规〔</w:t>
      </w:r>
      <w:r w:rsidRPr="000E5C4C">
        <w:rPr>
          <w:rFonts w:ascii="宋体" w:hAnsi="宋体" w:cs="宋体" w:hint="eastAsia"/>
          <w:color w:val="000000"/>
          <w:spacing w:val="4"/>
          <w:kern w:val="0"/>
          <w:sz w:val="32"/>
          <w:szCs w:val="32"/>
        </w:rPr>
        <w:t>2024</w:t>
      </w:r>
      <w:r w:rsidRPr="000E5C4C">
        <w:rPr>
          <w:rFonts w:ascii="仿宋_GB2312" w:eastAsia="仿宋_GB2312" w:hAnsi="仿宋_GB2312" w:cs="宋体" w:hint="eastAsia"/>
          <w:color w:val="000000"/>
          <w:spacing w:val="4"/>
          <w:kern w:val="0"/>
          <w:sz w:val="32"/>
          <w:szCs w:val="32"/>
        </w:rPr>
        <w:t>〕</w:t>
      </w:r>
      <w:r w:rsidRPr="000E5C4C">
        <w:rPr>
          <w:rFonts w:ascii="宋体" w:hAnsi="宋体" w:cs="宋体" w:hint="eastAsia"/>
          <w:color w:val="000000"/>
          <w:spacing w:val="4"/>
          <w:kern w:val="0"/>
          <w:sz w:val="32"/>
          <w:szCs w:val="32"/>
        </w:rPr>
        <w:t>3</w:t>
      </w:r>
      <w:r w:rsidRPr="000E5C4C">
        <w:rPr>
          <w:rFonts w:ascii="仿宋_GB2312" w:eastAsia="仿宋_GB2312" w:hAnsi="仿宋_GB2312" w:cs="宋体" w:hint="eastAsia"/>
          <w:color w:val="000000"/>
          <w:spacing w:val="4"/>
          <w:kern w:val="0"/>
          <w:sz w:val="32"/>
          <w:szCs w:val="32"/>
        </w:rPr>
        <w:t>号</w:t>
      </w:r>
    </w:p>
    <w:p w14:paraId="6673B78C" w14:textId="77777777" w:rsidR="000E5C4C" w:rsidRPr="000E5C4C" w:rsidRDefault="000E5C4C" w:rsidP="000E5C4C">
      <w:pPr>
        <w:widowControl/>
        <w:spacing w:line="560" w:lineRule="atLeast"/>
        <w:jc w:val="lef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各区人民政府、各相关单位：</w:t>
      </w:r>
    </w:p>
    <w:p w14:paraId="00555792" w14:textId="77777777" w:rsidR="000E5C4C" w:rsidRPr="000E5C4C" w:rsidRDefault="000E5C4C" w:rsidP="000E5C4C">
      <w:pPr>
        <w:widowControl/>
        <w:spacing w:line="560" w:lineRule="atLeast"/>
        <w:jc w:val="left"/>
        <w:rPr>
          <w:rFonts w:ascii="微软雅黑" w:eastAsia="微软雅黑" w:hAnsi="微软雅黑" w:cs="宋体"/>
          <w:color w:val="000000"/>
          <w:kern w:val="0"/>
          <w:szCs w:val="21"/>
        </w:rPr>
      </w:pP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《上海市进一步促进商旅文体展联动吸引扩大消费的若干措施》已经市人民政府同意，现印发给你们，请认真按照执行。</w:t>
      </w:r>
    </w:p>
    <w:p w14:paraId="650D2A1E" w14:textId="77777777" w:rsidR="000E5C4C" w:rsidRPr="000E5C4C" w:rsidRDefault="000E5C4C" w:rsidP="000E5C4C">
      <w:pPr>
        <w:widowControl/>
        <w:spacing w:line="560" w:lineRule="atLeast"/>
        <w:jc w:val="left"/>
        <w:rPr>
          <w:rFonts w:ascii="微软雅黑" w:eastAsia="微软雅黑" w:hAnsi="微软雅黑" w:cs="宋体"/>
          <w:color w:val="000000"/>
          <w:kern w:val="0"/>
          <w:szCs w:val="21"/>
        </w:rPr>
      </w:pPr>
      <w:r w:rsidRPr="000E5C4C">
        <w:rPr>
          <w:rFonts w:ascii="宋体" w:hAnsi="宋体" w:cs="宋体" w:hint="eastAsia"/>
          <w:color w:val="000000"/>
          <w:kern w:val="0"/>
          <w:szCs w:val="21"/>
        </w:rPr>
        <w:t> </w:t>
      </w:r>
    </w:p>
    <w:p w14:paraId="4515B5F0" w14:textId="77777777" w:rsidR="000E5C4C" w:rsidRPr="000E5C4C" w:rsidRDefault="000E5C4C" w:rsidP="000E5C4C">
      <w:pPr>
        <w:widowControl/>
        <w:spacing w:line="560" w:lineRule="atLeast"/>
        <w:jc w:val="right"/>
        <w:rPr>
          <w:rFonts w:ascii="微软雅黑" w:eastAsia="微软雅黑" w:hAnsi="微软雅黑" w:cs="宋体"/>
          <w:color w:val="000000"/>
          <w:kern w:val="0"/>
          <w:szCs w:val="21"/>
        </w:rPr>
      </w:pPr>
      <w:r w:rsidRPr="000E5C4C">
        <w:rPr>
          <w:rFonts w:ascii="宋体" w:hAnsi="宋体" w:cs="宋体" w:hint="eastAsia"/>
          <w:color w:val="000000"/>
          <w:kern w:val="0"/>
          <w:szCs w:val="21"/>
        </w:rPr>
        <w:t> </w:t>
      </w:r>
    </w:p>
    <w:p w14:paraId="6CF195C5" w14:textId="77777777" w:rsidR="000E5C4C" w:rsidRPr="000E5C4C" w:rsidRDefault="000E5C4C" w:rsidP="000E5C4C">
      <w:pPr>
        <w:widowControl/>
        <w:spacing w:line="510" w:lineRule="atLeast"/>
        <w:ind w:firstLine="640"/>
        <w:jc w:val="righ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上海市商务委员会</w:t>
      </w:r>
      <w:r w:rsidRPr="000E5C4C">
        <w:rPr>
          <w:rFonts w:ascii="Calibri" w:eastAsia="仿宋_GB2312" w:hAnsi="Calibri" w:cs="Calibri"/>
          <w:color w:val="000000"/>
          <w:kern w:val="0"/>
          <w:sz w:val="32"/>
          <w:szCs w:val="32"/>
        </w:rPr>
        <w:t>      </w:t>
      </w:r>
    </w:p>
    <w:p w14:paraId="0B0BA1C1" w14:textId="77777777" w:rsidR="000E5C4C" w:rsidRPr="000E5C4C" w:rsidRDefault="000E5C4C" w:rsidP="000E5C4C">
      <w:pPr>
        <w:widowControl/>
        <w:spacing w:line="510" w:lineRule="atLeast"/>
        <w:ind w:firstLine="640"/>
        <w:jc w:val="righ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上海市文化和旅游局</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p>
    <w:p w14:paraId="58490DE7" w14:textId="77777777" w:rsidR="000E5C4C" w:rsidRPr="000E5C4C" w:rsidRDefault="000E5C4C" w:rsidP="000E5C4C">
      <w:pPr>
        <w:widowControl/>
        <w:spacing w:line="510" w:lineRule="atLeast"/>
        <w:ind w:firstLine="960"/>
        <w:jc w:val="righ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上海市体育局</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p>
    <w:p w14:paraId="05A737E1" w14:textId="77777777" w:rsidR="000E5C4C" w:rsidRPr="000E5C4C" w:rsidRDefault="000E5C4C" w:rsidP="000E5C4C">
      <w:pPr>
        <w:widowControl/>
        <w:spacing w:line="510" w:lineRule="atLeast"/>
        <w:ind w:firstLine="960"/>
        <w:jc w:val="right"/>
        <w:rPr>
          <w:rFonts w:ascii="微软雅黑" w:eastAsia="微软雅黑" w:hAnsi="微软雅黑" w:cs="宋体"/>
          <w:color w:val="000000"/>
          <w:kern w:val="0"/>
          <w:szCs w:val="21"/>
        </w:rPr>
      </w:pP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上海市财政局</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p>
    <w:p w14:paraId="7B1767DC" w14:textId="77777777" w:rsidR="000E5C4C" w:rsidRPr="000E5C4C" w:rsidRDefault="000E5C4C" w:rsidP="000E5C4C">
      <w:pPr>
        <w:widowControl/>
        <w:spacing w:line="600" w:lineRule="atLeast"/>
        <w:ind w:firstLine="160"/>
        <w:jc w:val="right"/>
        <w:rPr>
          <w:rFonts w:ascii="微软雅黑" w:eastAsia="微软雅黑" w:hAnsi="微软雅黑" w:cs="宋体"/>
          <w:color w:val="000000"/>
          <w:kern w:val="0"/>
          <w:szCs w:val="21"/>
        </w:rPr>
      </w:pP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上海市公安局</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p>
    <w:p w14:paraId="4BF85ACF" w14:textId="77777777" w:rsidR="000E5C4C" w:rsidRPr="000E5C4C" w:rsidRDefault="000E5C4C" w:rsidP="000E5C4C">
      <w:pPr>
        <w:widowControl/>
        <w:spacing w:line="600" w:lineRule="atLeast"/>
        <w:ind w:firstLine="160"/>
        <w:jc w:val="righ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上海市绿化和市容管理局</w:t>
      </w:r>
      <w:r w:rsidRPr="000E5C4C">
        <w:rPr>
          <w:rFonts w:ascii="Calibri" w:eastAsia="仿宋_GB2312" w:hAnsi="Calibri" w:cs="Calibri"/>
          <w:color w:val="000000"/>
          <w:kern w:val="0"/>
          <w:sz w:val="32"/>
          <w:szCs w:val="32"/>
        </w:rPr>
        <w:t>  </w:t>
      </w:r>
    </w:p>
    <w:p w14:paraId="11C082A8" w14:textId="77777777" w:rsidR="000E5C4C" w:rsidRPr="000E5C4C" w:rsidRDefault="000E5C4C" w:rsidP="000E5C4C">
      <w:pPr>
        <w:widowControl/>
        <w:spacing w:line="600" w:lineRule="atLeast"/>
        <w:ind w:firstLine="160"/>
        <w:jc w:val="righ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上海市人民政府外事办公室</w:t>
      </w:r>
      <w:r w:rsidRPr="000E5C4C">
        <w:rPr>
          <w:rFonts w:ascii="Calibri" w:eastAsia="仿宋_GB2312" w:hAnsi="Calibri" w:cs="Calibri"/>
          <w:color w:val="000000"/>
          <w:kern w:val="0"/>
          <w:sz w:val="32"/>
          <w:szCs w:val="32"/>
        </w:rPr>
        <w:t>  </w:t>
      </w:r>
    </w:p>
    <w:p w14:paraId="21611723" w14:textId="77777777" w:rsidR="000E5C4C" w:rsidRPr="000E5C4C" w:rsidRDefault="000E5C4C" w:rsidP="000E5C4C">
      <w:pPr>
        <w:widowControl/>
        <w:spacing w:line="600" w:lineRule="atLeast"/>
        <w:ind w:firstLine="160"/>
        <w:jc w:val="right"/>
        <w:rPr>
          <w:rFonts w:ascii="微软雅黑" w:eastAsia="微软雅黑" w:hAnsi="微软雅黑" w:cs="宋体"/>
          <w:color w:val="000000"/>
          <w:kern w:val="0"/>
          <w:szCs w:val="21"/>
        </w:rPr>
      </w:pPr>
      <w:r w:rsidRPr="000E5C4C">
        <w:rPr>
          <w:rFonts w:ascii="Calibri" w:eastAsia="仿宋_GB2312" w:hAnsi="Calibri" w:cs="Calibri"/>
          <w:color w:val="000000"/>
          <w:kern w:val="0"/>
          <w:sz w:val="32"/>
          <w:szCs w:val="32"/>
        </w:rPr>
        <w:lastRenderedPageBreak/>
        <w:t> </w:t>
      </w:r>
      <w:r w:rsidRPr="000E5C4C">
        <w:rPr>
          <w:rFonts w:ascii="仿宋_GB2312" w:eastAsia="仿宋_GB2312" w:hAnsi="仿宋_GB2312" w:cs="宋体" w:hint="eastAsia"/>
          <w:color w:val="000000"/>
          <w:kern w:val="0"/>
          <w:sz w:val="32"/>
          <w:szCs w:val="32"/>
        </w:rPr>
        <w:t>国家税务总局上海市税务局</w:t>
      </w:r>
      <w:r w:rsidRPr="000E5C4C">
        <w:rPr>
          <w:rFonts w:ascii="Calibri" w:eastAsia="仿宋_GB2312" w:hAnsi="Calibri" w:cs="Calibri"/>
          <w:color w:val="000000"/>
          <w:kern w:val="0"/>
          <w:sz w:val="32"/>
          <w:szCs w:val="32"/>
        </w:rPr>
        <w:t>  </w:t>
      </w:r>
    </w:p>
    <w:p w14:paraId="24C164B8" w14:textId="77777777" w:rsidR="000E5C4C" w:rsidRPr="000E5C4C" w:rsidRDefault="000E5C4C" w:rsidP="000E5C4C">
      <w:pPr>
        <w:widowControl/>
        <w:spacing w:line="600" w:lineRule="atLeast"/>
        <w:jc w:val="right"/>
        <w:rPr>
          <w:rFonts w:ascii="微软雅黑" w:eastAsia="微软雅黑" w:hAnsi="微软雅黑" w:cs="宋体"/>
          <w:color w:val="000000"/>
          <w:kern w:val="0"/>
          <w:szCs w:val="21"/>
        </w:rPr>
      </w:pPr>
      <w:r w:rsidRPr="000E5C4C">
        <w:rPr>
          <w:rFonts w:ascii="Calibri" w:eastAsia="仿宋_GB2312" w:hAnsi="Calibri" w:cs="Calibri"/>
          <w:color w:val="000000"/>
          <w:kern w:val="0"/>
          <w:sz w:val="28"/>
          <w:szCs w:val="28"/>
        </w:rPr>
        <w:t>                                        </w:t>
      </w:r>
      <w:r w:rsidRPr="000E5C4C">
        <w:rPr>
          <w:rFonts w:ascii="宋体" w:hAnsi="宋体" w:cs="宋体" w:hint="eastAsia"/>
          <w:color w:val="000000"/>
          <w:kern w:val="0"/>
          <w:sz w:val="32"/>
          <w:szCs w:val="32"/>
        </w:rPr>
        <w:t>2024</w:t>
      </w:r>
      <w:r w:rsidRPr="000E5C4C">
        <w:rPr>
          <w:rFonts w:ascii="仿宋_GB2312" w:eastAsia="仿宋_GB2312" w:hAnsi="仿宋_GB2312" w:cs="宋体" w:hint="eastAsia"/>
          <w:color w:val="000000"/>
          <w:kern w:val="0"/>
          <w:sz w:val="32"/>
          <w:szCs w:val="32"/>
        </w:rPr>
        <w:t>年</w:t>
      </w:r>
      <w:r w:rsidRPr="000E5C4C">
        <w:rPr>
          <w:rFonts w:ascii="宋体" w:hAnsi="宋体" w:cs="宋体" w:hint="eastAsia"/>
          <w:color w:val="000000"/>
          <w:kern w:val="0"/>
          <w:sz w:val="32"/>
          <w:szCs w:val="32"/>
        </w:rPr>
        <w:t>4</w:t>
      </w:r>
      <w:r w:rsidRPr="000E5C4C">
        <w:rPr>
          <w:rFonts w:ascii="仿宋_GB2312" w:eastAsia="仿宋_GB2312" w:hAnsi="仿宋_GB2312" w:cs="宋体" w:hint="eastAsia"/>
          <w:color w:val="000000"/>
          <w:kern w:val="0"/>
          <w:sz w:val="32"/>
          <w:szCs w:val="32"/>
        </w:rPr>
        <w:t>月</w:t>
      </w:r>
      <w:r w:rsidRPr="000E5C4C">
        <w:rPr>
          <w:rFonts w:ascii="宋体" w:hAnsi="宋体" w:cs="宋体" w:hint="eastAsia"/>
          <w:color w:val="000000"/>
          <w:kern w:val="0"/>
          <w:sz w:val="32"/>
          <w:szCs w:val="32"/>
        </w:rPr>
        <w:t>26</w:t>
      </w:r>
      <w:r w:rsidRPr="000E5C4C">
        <w:rPr>
          <w:rFonts w:ascii="仿宋_GB2312" w:eastAsia="仿宋_GB2312" w:hAnsi="仿宋_GB2312" w:cs="宋体" w:hint="eastAsia"/>
          <w:color w:val="000000"/>
          <w:kern w:val="0"/>
          <w:sz w:val="32"/>
          <w:szCs w:val="32"/>
        </w:rPr>
        <w:t>日</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r w:rsidRPr="000E5C4C">
        <w:rPr>
          <w:rFonts w:ascii="仿宋_GB2312" w:eastAsia="仿宋_GB2312" w:hAnsi="仿宋_GB2312" w:cs="宋体" w:hint="eastAsia"/>
          <w:color w:val="000000"/>
          <w:kern w:val="0"/>
          <w:sz w:val="32"/>
          <w:szCs w:val="32"/>
        </w:rPr>
        <w:t xml:space="preserve"> </w:t>
      </w:r>
      <w:r w:rsidRPr="000E5C4C">
        <w:rPr>
          <w:rFonts w:ascii="Calibri" w:eastAsia="仿宋_GB2312" w:hAnsi="Calibri" w:cs="Calibri"/>
          <w:color w:val="000000"/>
          <w:kern w:val="0"/>
          <w:sz w:val="32"/>
          <w:szCs w:val="32"/>
        </w:rPr>
        <w:t> </w:t>
      </w:r>
    </w:p>
    <w:p w14:paraId="2A41B9DE" w14:textId="77777777" w:rsidR="000E5C4C" w:rsidRPr="000E5C4C" w:rsidRDefault="000E5C4C" w:rsidP="000E5C4C">
      <w:pPr>
        <w:widowControl/>
        <w:spacing w:line="600" w:lineRule="atLeast"/>
        <w:ind w:firstLine="640"/>
        <w:jc w:val="left"/>
        <w:rPr>
          <w:rFonts w:ascii="微软雅黑" w:eastAsia="微软雅黑" w:hAnsi="微软雅黑" w:cs="宋体"/>
          <w:color w:val="000000"/>
          <w:kern w:val="0"/>
          <w:szCs w:val="21"/>
        </w:rPr>
      </w:pPr>
      <w:r w:rsidRPr="000E5C4C">
        <w:rPr>
          <w:rFonts w:ascii="微软雅黑" w:eastAsia="微软雅黑" w:hAnsi="微软雅黑" w:cs="宋体" w:hint="eastAsia"/>
          <w:color w:val="000000"/>
          <w:kern w:val="0"/>
          <w:szCs w:val="21"/>
        </w:rPr>
        <w:t> </w:t>
      </w:r>
    </w:p>
    <w:p w14:paraId="36843704" w14:textId="77777777" w:rsidR="000E5C4C" w:rsidRPr="000E5C4C" w:rsidRDefault="000E5C4C" w:rsidP="000E5C4C">
      <w:pPr>
        <w:widowControl/>
        <w:spacing w:line="560" w:lineRule="atLeast"/>
        <w:jc w:val="center"/>
        <w:rPr>
          <w:rFonts w:ascii="微软雅黑" w:eastAsia="微软雅黑" w:hAnsi="微软雅黑" w:cs="宋体"/>
          <w:color w:val="000000"/>
          <w:kern w:val="0"/>
          <w:szCs w:val="21"/>
        </w:rPr>
      </w:pPr>
      <w:r w:rsidRPr="000E5C4C">
        <w:rPr>
          <w:rFonts w:ascii="方正小标宋简体" w:eastAsia="方正小标宋简体" w:hAnsi="方正小标宋简体" w:cs="宋体" w:hint="eastAsia"/>
          <w:color w:val="000000"/>
          <w:kern w:val="0"/>
          <w:sz w:val="36"/>
          <w:szCs w:val="36"/>
        </w:rPr>
        <w:t>上海市进一步促进商旅文体展联动吸引扩大消费的若干措施</w:t>
      </w:r>
    </w:p>
    <w:p w14:paraId="093F653B" w14:textId="77777777" w:rsidR="000E5C4C" w:rsidRPr="000E5C4C" w:rsidRDefault="000E5C4C" w:rsidP="000E5C4C">
      <w:pPr>
        <w:widowControl/>
        <w:spacing w:line="560" w:lineRule="atLeast"/>
        <w:jc w:val="left"/>
        <w:rPr>
          <w:rFonts w:ascii="微软雅黑" w:eastAsia="微软雅黑" w:hAnsi="微软雅黑" w:cs="宋体"/>
          <w:color w:val="000000"/>
          <w:kern w:val="0"/>
          <w:szCs w:val="21"/>
        </w:rPr>
      </w:pPr>
      <w:r w:rsidRPr="000E5C4C">
        <w:rPr>
          <w:rFonts w:ascii="Calibri" w:eastAsia="仿宋_GB2312" w:hAnsi="Calibri" w:cs="Calibri"/>
          <w:color w:val="000000"/>
          <w:kern w:val="0"/>
          <w:sz w:val="32"/>
          <w:szCs w:val="32"/>
        </w:rPr>
        <w:t> </w:t>
      </w:r>
    </w:p>
    <w:p w14:paraId="601B3491"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为加快建设国际消费中心城市，深化商旅文体展联动吸引扩大消费，为消费者提供更丰富消费产品、更优质消费服务、更多元消费场景，切实发挥消费对社会经济发展的拉动作用，增强高质量发展的持久动力，特制定有关措施如下：</w:t>
      </w:r>
    </w:p>
    <w:p w14:paraId="0EBC77FE"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黑体" w:eastAsia="黑体" w:hAnsi="黑体" w:cs="宋体" w:hint="eastAsia"/>
          <w:color w:val="000000"/>
          <w:kern w:val="0"/>
          <w:sz w:val="32"/>
          <w:szCs w:val="32"/>
        </w:rPr>
        <w:t>一、总体要求</w:t>
      </w:r>
    </w:p>
    <w:p w14:paraId="6F541287"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深化商旅文体展联动，积极促进“大消费”。</w:t>
      </w:r>
      <w:r w:rsidRPr="000E5C4C">
        <w:rPr>
          <w:rFonts w:ascii="仿宋_GB2312" w:eastAsia="仿宋_GB2312" w:hAnsi="仿宋_GB2312" w:cs="宋体" w:hint="eastAsia"/>
          <w:b/>
          <w:bCs/>
          <w:color w:val="000000"/>
          <w:kern w:val="0"/>
          <w:sz w:val="32"/>
          <w:szCs w:val="32"/>
        </w:rPr>
        <w:t>聚焦提能级、聚流量</w:t>
      </w:r>
      <w:r w:rsidRPr="000E5C4C">
        <w:rPr>
          <w:rFonts w:ascii="仿宋_GB2312" w:eastAsia="仿宋_GB2312" w:hAnsi="仿宋_GB2312" w:cs="宋体" w:hint="eastAsia"/>
          <w:color w:val="000000"/>
          <w:kern w:val="0"/>
          <w:sz w:val="32"/>
          <w:szCs w:val="32"/>
        </w:rPr>
        <w:t>。发挥展会、文博艺术、旅游、体育的大流量带动作用，撬动国际知名、国内一流的高能级、高流量、高品质的演出、展会、赛事等落地上海。</w:t>
      </w:r>
      <w:r w:rsidRPr="000E5C4C">
        <w:rPr>
          <w:rFonts w:ascii="仿宋_GB2312" w:eastAsia="仿宋_GB2312" w:hAnsi="仿宋_GB2312" w:cs="宋体" w:hint="eastAsia"/>
          <w:b/>
          <w:bCs/>
          <w:color w:val="000000"/>
          <w:kern w:val="0"/>
          <w:sz w:val="32"/>
          <w:szCs w:val="32"/>
        </w:rPr>
        <w:t>聚焦强联动、促消费</w:t>
      </w:r>
      <w:r w:rsidRPr="000E5C4C">
        <w:rPr>
          <w:rFonts w:ascii="仿宋_GB2312" w:eastAsia="仿宋_GB2312" w:hAnsi="仿宋_GB2312" w:cs="宋体" w:hint="eastAsia"/>
          <w:color w:val="000000"/>
          <w:kern w:val="0"/>
          <w:sz w:val="32"/>
          <w:szCs w:val="32"/>
        </w:rPr>
        <w:t>。以政策统合强化业态融合，促进要素聚合，推进市场复合，充分调动商旅文体展活动组织单位、专业服务机构、社交平台等开展商旅文体展联动促消费活动，全面激发“大消费”潜力。</w:t>
      </w:r>
      <w:r w:rsidRPr="000E5C4C">
        <w:rPr>
          <w:rFonts w:ascii="仿宋_GB2312" w:eastAsia="仿宋_GB2312" w:hAnsi="仿宋_GB2312" w:cs="宋体" w:hint="eastAsia"/>
          <w:b/>
          <w:bCs/>
          <w:color w:val="000000"/>
          <w:kern w:val="0"/>
          <w:sz w:val="32"/>
          <w:szCs w:val="32"/>
        </w:rPr>
        <w:t>聚焦补淡季、挖潜力。</w:t>
      </w:r>
      <w:r w:rsidRPr="000E5C4C">
        <w:rPr>
          <w:rFonts w:ascii="仿宋_GB2312" w:eastAsia="仿宋_GB2312" w:hAnsi="仿宋_GB2312" w:cs="宋体" w:hint="eastAsia"/>
          <w:color w:val="000000"/>
          <w:kern w:val="0"/>
          <w:sz w:val="32"/>
          <w:szCs w:val="32"/>
        </w:rPr>
        <w:t>针对展会、邮轮等淡季引流，以及“五五购物节”“上海之夏国际消费季”等主题活动精准营销的需要，加强联动与引流</w:t>
      </w:r>
      <w:r w:rsidRPr="000E5C4C">
        <w:rPr>
          <w:rFonts w:ascii="仿宋_GB2312" w:eastAsia="仿宋_GB2312" w:hAnsi="仿宋_GB2312" w:cs="宋体" w:hint="eastAsia"/>
          <w:color w:val="000000"/>
          <w:kern w:val="0"/>
          <w:sz w:val="32"/>
          <w:szCs w:val="32"/>
        </w:rPr>
        <w:lastRenderedPageBreak/>
        <w:t>双向赋能，将流量转化为消费增量。</w:t>
      </w:r>
      <w:r w:rsidRPr="000E5C4C">
        <w:rPr>
          <w:rFonts w:ascii="仿宋_GB2312" w:eastAsia="仿宋_GB2312" w:hAnsi="仿宋_GB2312" w:cs="宋体" w:hint="eastAsia"/>
          <w:b/>
          <w:bCs/>
          <w:color w:val="000000"/>
          <w:kern w:val="0"/>
          <w:sz w:val="32"/>
          <w:szCs w:val="32"/>
        </w:rPr>
        <w:t>聚焦优管理、促发展。</w:t>
      </w:r>
      <w:r w:rsidRPr="000E5C4C">
        <w:rPr>
          <w:rFonts w:ascii="仿宋_GB2312" w:eastAsia="仿宋_GB2312" w:hAnsi="仿宋_GB2312" w:cs="宋体" w:hint="eastAsia"/>
          <w:color w:val="000000"/>
          <w:kern w:val="0"/>
          <w:sz w:val="32"/>
          <w:szCs w:val="32"/>
        </w:rPr>
        <w:t>统筹兼顾聚人气、促消费和社会平稳有序运行的需要，优化促消费活动期间的安全管理、交通组织、氛围营造等配套措施，为商旅文体展联动促消费营造良好环境。</w:t>
      </w:r>
    </w:p>
    <w:p w14:paraId="0757BB49"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黑体" w:eastAsia="黑体" w:hAnsi="黑体" w:cs="宋体" w:hint="eastAsia"/>
          <w:color w:val="000000"/>
          <w:kern w:val="0"/>
          <w:sz w:val="32"/>
          <w:szCs w:val="32"/>
        </w:rPr>
        <w:t>二、主要内容</w:t>
      </w:r>
    </w:p>
    <w:p w14:paraId="4BB884C2"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（一）支持大型演唱会、音乐节</w:t>
      </w:r>
      <w:r w:rsidRPr="000E5C4C">
        <w:rPr>
          <w:rFonts w:ascii="仿宋_GB2312" w:eastAsia="仿宋_GB2312" w:hAnsi="仿宋_GB2312" w:cs="宋体" w:hint="eastAsia"/>
          <w:color w:val="000000"/>
          <w:kern w:val="0"/>
          <w:sz w:val="32"/>
          <w:szCs w:val="32"/>
        </w:rPr>
        <w:t>。对主办单位引进国际知名或国内一流的大型演唱会、音乐节，累计售票总人数不低于3万人次，予以最高200万元支持。对累计售票总人数超过5万人次，且境外观众比例超过10%，予以300万元一次性奖励。</w:t>
      </w:r>
    </w:p>
    <w:p w14:paraId="00C9EAE2"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（二）支持高品质文艺演出</w:t>
      </w:r>
      <w:r w:rsidRPr="000E5C4C">
        <w:rPr>
          <w:rFonts w:ascii="仿宋_GB2312" w:eastAsia="仿宋_GB2312" w:hAnsi="仿宋_GB2312" w:cs="宋体" w:hint="eastAsia"/>
          <w:color w:val="000000"/>
          <w:kern w:val="0"/>
          <w:sz w:val="32"/>
          <w:szCs w:val="32"/>
        </w:rPr>
        <w:t>。对主办单位在国家级重大文化艺术节展活动中引进国际知名或国内一流院团优秀剧目，累计观演观众不低于3000人次，予以最高200万元支持。对累计观演观众超过5000人次，且境外观众比例超过10%的，予以300万元一次性奖励。</w:t>
      </w:r>
    </w:p>
    <w:p w14:paraId="5D44A2DC"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（三）支持高流量文博美术大展</w:t>
      </w:r>
      <w:r w:rsidRPr="000E5C4C">
        <w:rPr>
          <w:rFonts w:ascii="仿宋_GB2312" w:eastAsia="仿宋_GB2312" w:hAnsi="仿宋_GB2312" w:cs="宋体" w:hint="eastAsia"/>
          <w:color w:val="000000"/>
          <w:kern w:val="0"/>
          <w:sz w:val="32"/>
          <w:szCs w:val="32"/>
        </w:rPr>
        <w:t>。对主办单位引进国际知名或国内一流的文博美术大展，累计观展观众不低于15万人次，予以最高200万元支持。对累计观展观众超过15万人次，且境外观众比例超10%，予以300万元一次性奖励。</w:t>
      </w:r>
    </w:p>
    <w:p w14:paraId="2D28CC0F"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（四）支持有影响力的重大体育赛事</w:t>
      </w:r>
      <w:r w:rsidRPr="000E5C4C">
        <w:rPr>
          <w:rFonts w:ascii="仿宋_GB2312" w:eastAsia="仿宋_GB2312" w:hAnsi="仿宋_GB2312" w:cs="宋体" w:hint="eastAsia"/>
          <w:color w:val="000000"/>
          <w:kern w:val="0"/>
          <w:sz w:val="32"/>
          <w:szCs w:val="32"/>
        </w:rPr>
        <w:t>。对主办单位举办较大影响力的国际国内重大体育赛事（不含职业联</w:t>
      </w:r>
      <w:r w:rsidRPr="000E5C4C">
        <w:rPr>
          <w:rFonts w:ascii="仿宋_GB2312" w:eastAsia="仿宋_GB2312" w:hAnsi="仿宋_GB2312" w:cs="宋体" w:hint="eastAsia"/>
          <w:color w:val="000000"/>
          <w:kern w:val="0"/>
          <w:sz w:val="32"/>
          <w:szCs w:val="32"/>
        </w:rPr>
        <w:lastRenderedPageBreak/>
        <w:t>赛），累计观赛观众不低于1万人次或参赛人数不低于5000人，予以最高100万元支持。对累计观赛观众超过2万人次，且境外观众比例超过10%的，予以200万元一次性奖励。</w:t>
      </w:r>
    </w:p>
    <w:p w14:paraId="11291D3D"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（五）支持高能级展会项目</w:t>
      </w:r>
      <w:r w:rsidRPr="000E5C4C">
        <w:rPr>
          <w:rFonts w:ascii="仿宋_GB2312" w:eastAsia="仿宋_GB2312" w:hAnsi="仿宋_GB2312" w:cs="宋体" w:hint="eastAsia"/>
          <w:color w:val="000000"/>
          <w:kern w:val="0"/>
          <w:sz w:val="32"/>
          <w:szCs w:val="32"/>
        </w:rPr>
        <w:t>。对主办单位引进首次在沪举办的世界商展100强、UFI认证展会等国际知名展览项目以及首次在沪举办的、展览面积不低于5万平方米的展览项目，予以最高200万元支持。对在1月、2月、7月、8月、12月份举办展览面积不低于5万平方米或日均入场人次不低于5万人的大型展览项目，予以最高100万元支持。</w:t>
      </w:r>
    </w:p>
    <w:p w14:paraId="71537311"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（六）支持引进国际邮轮旅游航线</w:t>
      </w:r>
      <w:r w:rsidRPr="000E5C4C">
        <w:rPr>
          <w:rFonts w:ascii="仿宋_GB2312" w:eastAsia="仿宋_GB2312" w:hAnsi="仿宋_GB2312" w:cs="宋体" w:hint="eastAsia"/>
          <w:color w:val="000000"/>
          <w:kern w:val="0"/>
          <w:sz w:val="32"/>
          <w:szCs w:val="32"/>
        </w:rPr>
        <w:t>。支持邮轮公司发挥上海国际邮轮港的综合优势部署国际航线、设立经营性机构。对在上海国际邮轮港全年安排始发港航次不低于15次，其中外籍旅客比例不低于2.5%的邮轮公司，予以最高200万元支持。对在上海国际邮轮港全年安排始发港航次不低于15次，其中外籍旅客比例不低于5%的邮轮公司，予以300万元一次性奖励。对以上海为访问港的邮轮公司，予以每艘次30万元一次性奖励。在7月、8月、9月等特定时段，予以每艘次60万元一次性奖励。对邮轮访问停靠天数超过2天的，每增加1天，在上述支持标准基础上再予以每艘次20万元一次性奖励，累计支持额不超过100万元。</w:t>
      </w:r>
    </w:p>
    <w:p w14:paraId="29723F13"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lastRenderedPageBreak/>
        <w:t>（七）推出过境免签优惠旅游产品</w:t>
      </w:r>
      <w:r w:rsidRPr="000E5C4C">
        <w:rPr>
          <w:rFonts w:ascii="仿宋_GB2312" w:eastAsia="仿宋_GB2312" w:hAnsi="仿宋_GB2312" w:cs="宋体" w:hint="eastAsia"/>
          <w:color w:val="000000"/>
          <w:kern w:val="0"/>
          <w:sz w:val="32"/>
          <w:szCs w:val="32"/>
        </w:rPr>
        <w:t>。对旅行社利用144小时免签政策推出不同行程、不同主题中转旅游产品，年内累计招徕不少于5000人次在上海口岸入境且在沪停留天数不少于2天，予以50万元一次性奖励。对“上海之夏国际消费季”活动期间开发上述产品，累计招徕不少于2000人次的，予以50万元一次性奖励。</w:t>
      </w:r>
    </w:p>
    <w:p w14:paraId="1EEA84F6"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（八）支持在线旅游经营平台促消费</w:t>
      </w:r>
      <w:r w:rsidRPr="000E5C4C">
        <w:rPr>
          <w:rFonts w:ascii="仿宋_GB2312" w:eastAsia="仿宋_GB2312" w:hAnsi="仿宋_GB2312" w:cs="宋体" w:hint="eastAsia"/>
          <w:color w:val="000000"/>
          <w:kern w:val="0"/>
          <w:sz w:val="32"/>
          <w:szCs w:val="32"/>
        </w:rPr>
        <w:t>。对在线旅游经营平台面向境内外市场联动航司、酒店、旅游景区、体育赛事、商业购物点、离境退税点等开展促消费活动，年内累计入沪游客不低于100万人次、境外游客占比不低于15%，予以最高500万元支持。对“上海之夏国际消费季”活动期间，相关促消费活动吸引境外游客达到10万人次，予以300万元一次性奖励。</w:t>
      </w:r>
    </w:p>
    <w:p w14:paraId="25FB88AB"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（九）支持商旅文体展联合促消费活动</w:t>
      </w:r>
      <w:r w:rsidRPr="000E5C4C">
        <w:rPr>
          <w:rFonts w:ascii="仿宋_GB2312" w:eastAsia="仿宋_GB2312" w:hAnsi="仿宋_GB2312" w:cs="宋体" w:hint="eastAsia"/>
          <w:color w:val="000000"/>
          <w:kern w:val="0"/>
          <w:sz w:val="32"/>
          <w:szCs w:val="32"/>
        </w:rPr>
        <w:t>。鼓励商旅文体展活动组织单位、专业服务机构、社交平台等市场主体，在大型主题活动期间联合举办商业营销、餐饮休闲等促消费活动，活动期间实现商业零售额增长超过20%且不低于2000万元、活动参加人数不低于1万人次的，对活动主办单位予以最高200万元支持。</w:t>
      </w:r>
    </w:p>
    <w:p w14:paraId="3DB6BD8C"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（十）进一步提升境外人士支付服务便利性。</w:t>
      </w:r>
      <w:r w:rsidRPr="000E5C4C">
        <w:rPr>
          <w:rFonts w:ascii="仿宋_GB2312" w:eastAsia="仿宋_GB2312" w:hAnsi="仿宋_GB2312" w:cs="宋体" w:hint="eastAsia"/>
          <w:color w:val="000000"/>
          <w:kern w:val="0"/>
          <w:sz w:val="32"/>
          <w:szCs w:val="32"/>
        </w:rPr>
        <w:t>在本市商圈、旅游景区（点）、特色街区、机场车站等境外人士在沪重点消费场所拓展外卡受理商户、开通外卡POS机并</w:t>
      </w:r>
      <w:r w:rsidRPr="000E5C4C">
        <w:rPr>
          <w:rFonts w:ascii="仿宋_GB2312" w:eastAsia="仿宋_GB2312" w:hAnsi="仿宋_GB2312" w:cs="宋体" w:hint="eastAsia"/>
          <w:color w:val="000000"/>
          <w:kern w:val="0"/>
          <w:sz w:val="32"/>
          <w:szCs w:val="32"/>
        </w:rPr>
        <w:lastRenderedPageBreak/>
        <w:t>做好国际支付便利标识张贴，对收单机构为商户新增的POS机设备，予以每台购置成本50%、最高400元支持。支持离境退税商店购置离境退税业务的计算机、打印机、护照验证机等设备，在店堂内外宣传离境退税政策，张贴、悬挂退税引导标识费用等，按实际投入予以每家商户最高5000元支持。优化多层次现金服务，提升移动支付服务便利度。</w:t>
      </w:r>
    </w:p>
    <w:p w14:paraId="26926AE5"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（十一）提升消费环境国际化品质</w:t>
      </w:r>
      <w:r w:rsidRPr="000E5C4C">
        <w:rPr>
          <w:rFonts w:ascii="仿宋_GB2312" w:eastAsia="仿宋_GB2312" w:hAnsi="仿宋_GB2312" w:cs="宋体" w:hint="eastAsia"/>
          <w:color w:val="000000"/>
          <w:kern w:val="0"/>
          <w:sz w:val="32"/>
          <w:szCs w:val="32"/>
        </w:rPr>
        <w:t>。对本市旅游度假区、旅游景区、特色街区、文化场所、体育场馆、宾馆酒店、商业综合体等市场主体新建或升级多语种服务咨询台、多语种标识标牌系统、行李寄存设备等国际化、便利化、多语种消费服务设施，按设施设备投入的30%，予以最高50万元支持。</w:t>
      </w:r>
    </w:p>
    <w:p w14:paraId="5A1B8E29"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（十二）优化外籍旅客入境通关服务</w:t>
      </w:r>
      <w:r w:rsidRPr="000E5C4C">
        <w:rPr>
          <w:rFonts w:ascii="仿宋_GB2312" w:eastAsia="仿宋_GB2312" w:hAnsi="仿宋_GB2312" w:cs="宋体" w:hint="eastAsia"/>
          <w:color w:val="000000"/>
          <w:kern w:val="0"/>
          <w:sz w:val="32"/>
          <w:szCs w:val="32"/>
        </w:rPr>
        <w:t>。优化入境卡填写流程，提高国际航班机上填写便利度，推行入境卡电子化申报。全面上线“境外人士WIFI易认证”一键上网功能，入境旅客点击机场WIFI，自主扫描护照后即可直接登录使用机场免费无线网络。在浦东国际机场和虹桥国际机场入境区域设置一站式服务点位，提供入境服务指南、外籍人士在沪服务手册、旅游地图、WIFI设备租赁、手机SIM卡销售、外币兑换、零钱包兑换、移动支付、人工问询等一揽子便利服务。</w:t>
      </w:r>
    </w:p>
    <w:p w14:paraId="6E2992DC"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lastRenderedPageBreak/>
        <w:t>（十三）完善活动安全管理</w:t>
      </w:r>
      <w:r w:rsidRPr="000E5C4C">
        <w:rPr>
          <w:rFonts w:ascii="仿宋_GB2312" w:eastAsia="仿宋_GB2312" w:hAnsi="仿宋_GB2312" w:cs="宋体" w:hint="eastAsia"/>
          <w:color w:val="000000"/>
          <w:kern w:val="0"/>
          <w:sz w:val="32"/>
          <w:szCs w:val="32"/>
        </w:rPr>
        <w:t>。在符合安全标准前提下，在“五五购物节”“上海之夏国际消费季”期间按照活动场馆（地）实际情况，最大程度优化容量。</w:t>
      </w:r>
    </w:p>
    <w:p w14:paraId="4BF3E534"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（十四）优化特色商业活动管理。</w:t>
      </w:r>
      <w:r w:rsidRPr="000E5C4C">
        <w:rPr>
          <w:rFonts w:ascii="仿宋_GB2312" w:eastAsia="仿宋_GB2312" w:hAnsi="仿宋_GB2312" w:cs="宋体" w:hint="eastAsia"/>
          <w:color w:val="000000"/>
          <w:kern w:val="0"/>
          <w:sz w:val="32"/>
          <w:szCs w:val="32"/>
        </w:rPr>
        <w:t>支持符合国际消费中心城市功能和品质要求的品牌化、主题化、特色化商业活动，按照属地政府明确的区域范围、时段、业态以及管理要求，有序发展外摆位、露台经济等经营活动。</w:t>
      </w:r>
    </w:p>
    <w:p w14:paraId="66ACC94A"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（十五）加强夜间经济保障</w:t>
      </w:r>
      <w:r w:rsidRPr="000E5C4C">
        <w:rPr>
          <w:rFonts w:ascii="仿宋_GB2312" w:eastAsia="仿宋_GB2312" w:hAnsi="仿宋_GB2312" w:cs="宋体" w:hint="eastAsia"/>
          <w:color w:val="000000"/>
          <w:kern w:val="0"/>
          <w:sz w:val="32"/>
          <w:szCs w:val="32"/>
        </w:rPr>
        <w:t>。在“五五购物节”“上海之夏国际消费季”期间，试点在夜间特定时段将部分夜宵街、酒吧街所属道路调整为分时制步行街。在充分评估基础上，优化夜生活集聚区及周边动静态交通组织管理，在周边区域增加夜间停车位、出租车候客点、夜班公交线路等。提升夜间灯光造景，做好街景打造、装饰照明、标识指引等氛围营造工作。</w:t>
      </w:r>
    </w:p>
    <w:p w14:paraId="0DB30E14" w14:textId="77777777" w:rsidR="000E5C4C" w:rsidRPr="000E5C4C" w:rsidRDefault="000E5C4C" w:rsidP="000E5C4C">
      <w:pPr>
        <w:widowControl/>
        <w:spacing w:line="560" w:lineRule="atLeast"/>
        <w:ind w:firstLine="643"/>
        <w:jc w:val="left"/>
        <w:rPr>
          <w:rFonts w:ascii="微软雅黑" w:eastAsia="微软雅黑" w:hAnsi="微软雅黑" w:cs="宋体"/>
          <w:color w:val="000000"/>
          <w:kern w:val="0"/>
          <w:szCs w:val="21"/>
        </w:rPr>
      </w:pPr>
      <w:r w:rsidRPr="000E5C4C">
        <w:rPr>
          <w:rFonts w:ascii="楷体_GB2312" w:eastAsia="楷体_GB2312" w:hAnsi="楷体_GB2312" w:cs="宋体" w:hint="eastAsia"/>
          <w:b/>
          <w:bCs/>
          <w:color w:val="000000"/>
          <w:kern w:val="0"/>
          <w:sz w:val="32"/>
          <w:szCs w:val="32"/>
        </w:rPr>
        <w:t>（十六）鼓励各区加强配套服务支持</w:t>
      </w:r>
      <w:r w:rsidRPr="000E5C4C">
        <w:rPr>
          <w:rFonts w:ascii="仿宋_GB2312" w:eastAsia="仿宋_GB2312" w:hAnsi="仿宋_GB2312" w:cs="宋体" w:hint="eastAsia"/>
          <w:color w:val="000000"/>
          <w:kern w:val="0"/>
          <w:sz w:val="32"/>
          <w:szCs w:val="32"/>
        </w:rPr>
        <w:t>。鼓励各区结合实际情况配套安排商旅文体展联动促消费资金。各区要加强属地资源保障力度，为引进高能级项目、开展商旅文体展联动促消费做好服务。</w:t>
      </w:r>
    </w:p>
    <w:p w14:paraId="292FC1DA"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黑体" w:eastAsia="黑体" w:hAnsi="黑体" w:cs="宋体" w:hint="eastAsia"/>
          <w:color w:val="000000"/>
          <w:kern w:val="0"/>
          <w:sz w:val="32"/>
          <w:szCs w:val="32"/>
        </w:rPr>
        <w:t>三、其他</w:t>
      </w:r>
    </w:p>
    <w:p w14:paraId="282C7E98"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t>专项资金管理和使用严格执行国家和本市有关法律法规、财务规章制度。原则上已获得其他市级财政性资金支持的项目，不再给予支持。</w:t>
      </w:r>
    </w:p>
    <w:p w14:paraId="4E01621D" w14:textId="77777777" w:rsidR="000E5C4C" w:rsidRPr="000E5C4C" w:rsidRDefault="000E5C4C" w:rsidP="000E5C4C">
      <w:pPr>
        <w:widowControl/>
        <w:spacing w:line="560" w:lineRule="atLeast"/>
        <w:ind w:firstLine="640"/>
        <w:jc w:val="left"/>
        <w:rPr>
          <w:rFonts w:ascii="微软雅黑" w:eastAsia="微软雅黑" w:hAnsi="微软雅黑" w:cs="宋体"/>
          <w:color w:val="000000"/>
          <w:kern w:val="0"/>
          <w:szCs w:val="21"/>
        </w:rPr>
      </w:pPr>
      <w:r w:rsidRPr="000E5C4C">
        <w:rPr>
          <w:rFonts w:ascii="仿宋_GB2312" w:eastAsia="仿宋_GB2312" w:hAnsi="仿宋_GB2312" w:cs="宋体" w:hint="eastAsia"/>
          <w:color w:val="000000"/>
          <w:kern w:val="0"/>
          <w:sz w:val="32"/>
          <w:szCs w:val="32"/>
        </w:rPr>
        <w:lastRenderedPageBreak/>
        <w:t>本政策自2024年5月1日起实施，至2025年12月31日。政策由市商务委会同各相关部门负责解释。</w:t>
      </w:r>
    </w:p>
    <w:p w14:paraId="261DC4A9" w14:textId="77777777" w:rsidR="000E5C4C" w:rsidRPr="000E5C4C" w:rsidRDefault="000E5C4C" w:rsidP="000E5C4C">
      <w:pPr>
        <w:widowControl/>
        <w:jc w:val="right"/>
        <w:rPr>
          <w:rFonts w:ascii="微软雅黑" w:eastAsia="微软雅黑" w:hAnsi="微软雅黑" w:cs="宋体"/>
          <w:color w:val="000000"/>
          <w:kern w:val="0"/>
          <w:szCs w:val="21"/>
        </w:rPr>
      </w:pPr>
      <w:r w:rsidRPr="000E5C4C">
        <w:rPr>
          <w:rFonts w:ascii="微软雅黑" w:eastAsia="微软雅黑" w:hAnsi="微软雅黑" w:cs="宋体" w:hint="eastAsia"/>
          <w:color w:val="000000"/>
          <w:kern w:val="0"/>
          <w:szCs w:val="21"/>
        </w:rPr>
        <w:t>来源：上海市商务委员会</w:t>
      </w:r>
    </w:p>
    <w:p w14:paraId="039A3BCA" w14:textId="77777777" w:rsidR="00551BF9" w:rsidRPr="000E5C4C" w:rsidRDefault="00551BF9"/>
    <w:sectPr w:rsidR="00551BF9" w:rsidRPr="000E5C4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1" w:csb1="00000000"/>
  </w:font>
  <w:font w:name="Calibri">
    <w:panose1 w:val="020F0502020204030204"/>
    <w:charset w:val="00"/>
    <w:family w:val="swiss"/>
    <w:pitch w:val="variable"/>
    <w:sig w:usb0="E0002AFF" w:usb1="C000247B" w:usb2="00000009" w:usb3="00000000" w:csb0="000001FF" w:csb1="00000000"/>
  </w:font>
  <w:font w:name="方正小标宋简体">
    <w:panose1 w:val="03000509000000000000"/>
    <w:charset w:val="86"/>
    <w:family w:val="script"/>
    <w:pitch w:val="variable"/>
    <w:sig w:usb0="00000001" w:usb1="080E0000" w:usb2="00000010"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C4C"/>
    <w:rsid w:val="000E5C4C"/>
    <w:rsid w:val="00551BF9"/>
    <w:rsid w:val="007B308D"/>
    <w:rsid w:val="00864246"/>
    <w:rsid w:val="00B530FD"/>
    <w:rsid w:val="00B85A65"/>
    <w:rsid w:val="00BF5BC7"/>
    <w:rsid w:val="00C63D00"/>
    <w:rsid w:val="00DC7E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3F6538F"/>
  <w15:chartTrackingRefBased/>
  <w15:docId w15:val="{6903597B-FD54-5647-A40C-948D8BA7B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5BC7"/>
    <w:pPr>
      <w:widowControl w:val="0"/>
      <w:jc w:val="both"/>
    </w:pPr>
    <w:rPr>
      <w:kern w:val="2"/>
      <w:sz w:val="21"/>
      <w:szCs w:val="24"/>
    </w:rPr>
  </w:style>
  <w:style w:type="paragraph" w:styleId="1">
    <w:name w:val="heading 1"/>
    <w:basedOn w:val="a"/>
    <w:next w:val="a"/>
    <w:link w:val="10"/>
    <w:uiPriority w:val="9"/>
    <w:qFormat/>
    <w:rsid w:val="000E5C4C"/>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unhideWhenUsed/>
    <w:qFormat/>
    <w:rsid w:val="000E5C4C"/>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0E5C4C"/>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0E5C4C"/>
    <w:pPr>
      <w:keepNext/>
      <w:keepLines/>
      <w:spacing w:before="80" w:after="40"/>
      <w:outlineLvl w:val="3"/>
    </w:pPr>
    <w:rPr>
      <w:rFonts w:asciiTheme="minorHAnsi" w:eastAsiaTheme="minorEastAsia" w:hAnsiTheme="minorHAnsi" w:cstheme="majorBidi"/>
      <w:color w:val="2F5496" w:themeColor="accent1" w:themeShade="BF"/>
      <w:sz w:val="28"/>
      <w:szCs w:val="28"/>
    </w:rPr>
  </w:style>
  <w:style w:type="paragraph" w:styleId="5">
    <w:name w:val="heading 5"/>
    <w:basedOn w:val="a"/>
    <w:next w:val="a"/>
    <w:link w:val="50"/>
    <w:uiPriority w:val="9"/>
    <w:semiHidden/>
    <w:unhideWhenUsed/>
    <w:qFormat/>
    <w:rsid w:val="000E5C4C"/>
    <w:pPr>
      <w:keepNext/>
      <w:keepLines/>
      <w:spacing w:before="80" w:after="40"/>
      <w:outlineLvl w:val="4"/>
    </w:pPr>
    <w:rPr>
      <w:rFonts w:asciiTheme="minorHAnsi" w:eastAsiaTheme="minorEastAsia" w:hAnsiTheme="minorHAnsi" w:cstheme="majorBidi"/>
      <w:color w:val="2F5496" w:themeColor="accent1" w:themeShade="BF"/>
      <w:sz w:val="24"/>
    </w:rPr>
  </w:style>
  <w:style w:type="paragraph" w:styleId="6">
    <w:name w:val="heading 6"/>
    <w:basedOn w:val="a"/>
    <w:next w:val="a"/>
    <w:link w:val="60"/>
    <w:uiPriority w:val="9"/>
    <w:semiHidden/>
    <w:unhideWhenUsed/>
    <w:qFormat/>
    <w:rsid w:val="000E5C4C"/>
    <w:pPr>
      <w:keepNext/>
      <w:keepLines/>
      <w:spacing w:before="40"/>
      <w:outlineLvl w:val="5"/>
    </w:pPr>
    <w:rPr>
      <w:rFonts w:asciiTheme="minorHAnsi" w:eastAsiaTheme="minorEastAsia" w:hAnsiTheme="minorHAnsi" w:cstheme="majorBidi"/>
      <w:b/>
      <w:bCs/>
      <w:color w:val="2F5496" w:themeColor="accent1" w:themeShade="BF"/>
    </w:rPr>
  </w:style>
  <w:style w:type="paragraph" w:styleId="7">
    <w:name w:val="heading 7"/>
    <w:basedOn w:val="a"/>
    <w:next w:val="a"/>
    <w:link w:val="70"/>
    <w:uiPriority w:val="9"/>
    <w:semiHidden/>
    <w:unhideWhenUsed/>
    <w:qFormat/>
    <w:rsid w:val="000E5C4C"/>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0E5C4C"/>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0E5C4C"/>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qFormat/>
    <w:rsid w:val="00BF5BC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BF5BC7"/>
    <w:rPr>
      <w:kern w:val="2"/>
      <w:sz w:val="18"/>
      <w:szCs w:val="18"/>
    </w:rPr>
  </w:style>
  <w:style w:type="paragraph" w:styleId="a5">
    <w:name w:val="footer"/>
    <w:basedOn w:val="a"/>
    <w:link w:val="a6"/>
    <w:qFormat/>
    <w:rsid w:val="00BF5BC7"/>
    <w:pPr>
      <w:tabs>
        <w:tab w:val="center" w:pos="4153"/>
        <w:tab w:val="right" w:pos="8306"/>
      </w:tabs>
      <w:snapToGrid w:val="0"/>
      <w:jc w:val="left"/>
    </w:pPr>
    <w:rPr>
      <w:sz w:val="18"/>
      <w:szCs w:val="20"/>
    </w:rPr>
  </w:style>
  <w:style w:type="character" w:customStyle="1" w:styleId="a6">
    <w:name w:val="页脚 字符"/>
    <w:basedOn w:val="a0"/>
    <w:link w:val="a5"/>
    <w:rsid w:val="00BF5BC7"/>
    <w:rPr>
      <w:kern w:val="2"/>
      <w:sz w:val="18"/>
    </w:rPr>
  </w:style>
  <w:style w:type="character" w:styleId="a7">
    <w:name w:val="page number"/>
    <w:qFormat/>
    <w:rsid w:val="00BF5BC7"/>
  </w:style>
  <w:style w:type="paragraph" w:styleId="a8">
    <w:name w:val="Plain Text"/>
    <w:basedOn w:val="a"/>
    <w:link w:val="a9"/>
    <w:qFormat/>
    <w:rsid w:val="00BF5BC7"/>
    <w:rPr>
      <w:rFonts w:ascii="宋体" w:hAnsi="Courier New"/>
      <w:kern w:val="0"/>
      <w:sz w:val="20"/>
      <w:szCs w:val="20"/>
    </w:rPr>
  </w:style>
  <w:style w:type="character" w:customStyle="1" w:styleId="a9">
    <w:name w:val="纯文本 字符"/>
    <w:link w:val="a8"/>
    <w:qFormat/>
    <w:rsid w:val="00BF5BC7"/>
    <w:rPr>
      <w:rFonts w:ascii="宋体" w:hAnsi="Courier New"/>
    </w:rPr>
  </w:style>
  <w:style w:type="character" w:customStyle="1" w:styleId="10">
    <w:name w:val="标题 1 字符"/>
    <w:basedOn w:val="a0"/>
    <w:link w:val="1"/>
    <w:uiPriority w:val="9"/>
    <w:rsid w:val="000E5C4C"/>
    <w:rPr>
      <w:rFonts w:asciiTheme="majorHAnsi" w:eastAsiaTheme="majorEastAsia" w:hAnsiTheme="majorHAnsi" w:cstheme="majorBidi"/>
      <w:color w:val="2F5496" w:themeColor="accent1" w:themeShade="BF"/>
      <w:kern w:val="2"/>
      <w:sz w:val="48"/>
      <w:szCs w:val="48"/>
    </w:rPr>
  </w:style>
  <w:style w:type="character" w:customStyle="1" w:styleId="20">
    <w:name w:val="标题 2 字符"/>
    <w:basedOn w:val="a0"/>
    <w:link w:val="2"/>
    <w:uiPriority w:val="9"/>
    <w:rsid w:val="000E5C4C"/>
    <w:rPr>
      <w:rFonts w:asciiTheme="majorHAnsi" w:eastAsiaTheme="majorEastAsia" w:hAnsiTheme="majorHAnsi" w:cstheme="majorBidi"/>
      <w:color w:val="2F5496" w:themeColor="accent1" w:themeShade="BF"/>
      <w:kern w:val="2"/>
      <w:sz w:val="40"/>
      <w:szCs w:val="40"/>
    </w:rPr>
  </w:style>
  <w:style w:type="character" w:customStyle="1" w:styleId="30">
    <w:name w:val="标题 3 字符"/>
    <w:basedOn w:val="a0"/>
    <w:link w:val="3"/>
    <w:uiPriority w:val="9"/>
    <w:semiHidden/>
    <w:rsid w:val="000E5C4C"/>
    <w:rPr>
      <w:rFonts w:asciiTheme="majorHAnsi" w:eastAsiaTheme="majorEastAsia" w:hAnsiTheme="majorHAnsi" w:cstheme="majorBidi"/>
      <w:color w:val="2F5496" w:themeColor="accent1" w:themeShade="BF"/>
      <w:kern w:val="2"/>
      <w:sz w:val="32"/>
      <w:szCs w:val="32"/>
    </w:rPr>
  </w:style>
  <w:style w:type="character" w:customStyle="1" w:styleId="40">
    <w:name w:val="标题 4 字符"/>
    <w:basedOn w:val="a0"/>
    <w:link w:val="4"/>
    <w:uiPriority w:val="9"/>
    <w:semiHidden/>
    <w:rsid w:val="000E5C4C"/>
    <w:rPr>
      <w:rFonts w:asciiTheme="minorHAnsi" w:eastAsiaTheme="minorEastAsia" w:hAnsiTheme="minorHAnsi" w:cstheme="majorBidi"/>
      <w:color w:val="2F5496" w:themeColor="accent1" w:themeShade="BF"/>
      <w:kern w:val="2"/>
      <w:sz w:val="28"/>
      <w:szCs w:val="28"/>
    </w:rPr>
  </w:style>
  <w:style w:type="character" w:customStyle="1" w:styleId="50">
    <w:name w:val="标题 5 字符"/>
    <w:basedOn w:val="a0"/>
    <w:link w:val="5"/>
    <w:uiPriority w:val="9"/>
    <w:semiHidden/>
    <w:rsid w:val="000E5C4C"/>
    <w:rPr>
      <w:rFonts w:asciiTheme="minorHAnsi" w:eastAsiaTheme="minorEastAsia" w:hAnsiTheme="minorHAnsi" w:cstheme="majorBidi"/>
      <w:color w:val="2F5496" w:themeColor="accent1" w:themeShade="BF"/>
      <w:kern w:val="2"/>
      <w:sz w:val="24"/>
      <w:szCs w:val="24"/>
    </w:rPr>
  </w:style>
  <w:style w:type="character" w:customStyle="1" w:styleId="60">
    <w:name w:val="标题 6 字符"/>
    <w:basedOn w:val="a0"/>
    <w:link w:val="6"/>
    <w:uiPriority w:val="9"/>
    <w:semiHidden/>
    <w:rsid w:val="000E5C4C"/>
    <w:rPr>
      <w:rFonts w:asciiTheme="minorHAnsi" w:eastAsiaTheme="minorEastAsia" w:hAnsiTheme="minorHAnsi" w:cstheme="majorBidi"/>
      <w:b/>
      <w:bCs/>
      <w:color w:val="2F5496" w:themeColor="accent1" w:themeShade="BF"/>
      <w:kern w:val="2"/>
      <w:sz w:val="21"/>
      <w:szCs w:val="24"/>
    </w:rPr>
  </w:style>
  <w:style w:type="character" w:customStyle="1" w:styleId="70">
    <w:name w:val="标题 7 字符"/>
    <w:basedOn w:val="a0"/>
    <w:link w:val="7"/>
    <w:uiPriority w:val="9"/>
    <w:semiHidden/>
    <w:rsid w:val="000E5C4C"/>
    <w:rPr>
      <w:rFonts w:asciiTheme="minorHAnsi" w:eastAsiaTheme="minorEastAsia" w:hAnsiTheme="minorHAnsi" w:cstheme="majorBidi"/>
      <w:b/>
      <w:bCs/>
      <w:color w:val="595959" w:themeColor="text1" w:themeTint="A6"/>
      <w:kern w:val="2"/>
      <w:sz w:val="21"/>
      <w:szCs w:val="24"/>
    </w:rPr>
  </w:style>
  <w:style w:type="character" w:customStyle="1" w:styleId="80">
    <w:name w:val="标题 8 字符"/>
    <w:basedOn w:val="a0"/>
    <w:link w:val="8"/>
    <w:uiPriority w:val="9"/>
    <w:semiHidden/>
    <w:rsid w:val="000E5C4C"/>
    <w:rPr>
      <w:rFonts w:asciiTheme="minorHAnsi" w:eastAsiaTheme="minorEastAsia" w:hAnsiTheme="minorHAnsi" w:cstheme="majorBidi"/>
      <w:color w:val="595959" w:themeColor="text1" w:themeTint="A6"/>
      <w:kern w:val="2"/>
      <w:sz w:val="21"/>
      <w:szCs w:val="24"/>
    </w:rPr>
  </w:style>
  <w:style w:type="character" w:customStyle="1" w:styleId="90">
    <w:name w:val="标题 9 字符"/>
    <w:basedOn w:val="a0"/>
    <w:link w:val="9"/>
    <w:uiPriority w:val="9"/>
    <w:semiHidden/>
    <w:rsid w:val="000E5C4C"/>
    <w:rPr>
      <w:rFonts w:asciiTheme="minorHAnsi" w:eastAsiaTheme="majorEastAsia" w:hAnsiTheme="minorHAnsi" w:cstheme="majorBidi"/>
      <w:color w:val="595959" w:themeColor="text1" w:themeTint="A6"/>
      <w:kern w:val="2"/>
      <w:sz w:val="21"/>
      <w:szCs w:val="24"/>
    </w:rPr>
  </w:style>
  <w:style w:type="paragraph" w:styleId="aa">
    <w:name w:val="Title"/>
    <w:basedOn w:val="a"/>
    <w:next w:val="a"/>
    <w:link w:val="ab"/>
    <w:uiPriority w:val="10"/>
    <w:qFormat/>
    <w:rsid w:val="000E5C4C"/>
    <w:pPr>
      <w:spacing w:after="80"/>
      <w:contextualSpacing/>
      <w:jc w:val="center"/>
    </w:pPr>
    <w:rPr>
      <w:rFonts w:asciiTheme="majorHAnsi" w:eastAsiaTheme="majorEastAsia" w:hAnsiTheme="majorHAnsi" w:cstheme="majorBidi"/>
      <w:spacing w:val="-10"/>
      <w:kern w:val="28"/>
      <w:sz w:val="56"/>
      <w:szCs w:val="56"/>
    </w:rPr>
  </w:style>
  <w:style w:type="character" w:customStyle="1" w:styleId="ab">
    <w:name w:val="标题 字符"/>
    <w:basedOn w:val="a0"/>
    <w:link w:val="aa"/>
    <w:uiPriority w:val="10"/>
    <w:rsid w:val="000E5C4C"/>
    <w:rPr>
      <w:rFonts w:asciiTheme="majorHAnsi" w:eastAsiaTheme="majorEastAsia" w:hAnsiTheme="majorHAnsi" w:cstheme="majorBidi"/>
      <w:spacing w:val="-10"/>
      <w:kern w:val="28"/>
      <w:sz w:val="56"/>
      <w:szCs w:val="56"/>
    </w:rPr>
  </w:style>
  <w:style w:type="paragraph" w:styleId="ac">
    <w:name w:val="Subtitle"/>
    <w:basedOn w:val="a"/>
    <w:next w:val="a"/>
    <w:link w:val="ad"/>
    <w:uiPriority w:val="11"/>
    <w:qFormat/>
    <w:rsid w:val="000E5C4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d">
    <w:name w:val="副标题 字符"/>
    <w:basedOn w:val="a0"/>
    <w:link w:val="ac"/>
    <w:uiPriority w:val="11"/>
    <w:rsid w:val="000E5C4C"/>
    <w:rPr>
      <w:rFonts w:asciiTheme="majorHAnsi" w:eastAsiaTheme="majorEastAsia" w:hAnsiTheme="majorHAnsi" w:cstheme="majorBidi"/>
      <w:color w:val="595959" w:themeColor="text1" w:themeTint="A6"/>
      <w:spacing w:val="15"/>
      <w:kern w:val="2"/>
      <w:sz w:val="28"/>
      <w:szCs w:val="28"/>
    </w:rPr>
  </w:style>
  <w:style w:type="paragraph" w:styleId="ae">
    <w:name w:val="Quote"/>
    <w:basedOn w:val="a"/>
    <w:next w:val="a"/>
    <w:link w:val="af"/>
    <w:uiPriority w:val="99"/>
    <w:qFormat/>
    <w:rsid w:val="000E5C4C"/>
    <w:pPr>
      <w:spacing w:before="160" w:after="160"/>
      <w:jc w:val="center"/>
    </w:pPr>
    <w:rPr>
      <w:i/>
      <w:iCs/>
      <w:color w:val="404040" w:themeColor="text1" w:themeTint="BF"/>
    </w:rPr>
  </w:style>
  <w:style w:type="character" w:customStyle="1" w:styleId="af">
    <w:name w:val="引用 字符"/>
    <w:basedOn w:val="a0"/>
    <w:link w:val="ae"/>
    <w:uiPriority w:val="99"/>
    <w:rsid w:val="000E5C4C"/>
    <w:rPr>
      <w:i/>
      <w:iCs/>
      <w:color w:val="404040" w:themeColor="text1" w:themeTint="BF"/>
      <w:kern w:val="2"/>
      <w:sz w:val="21"/>
      <w:szCs w:val="24"/>
    </w:rPr>
  </w:style>
  <w:style w:type="paragraph" w:styleId="af0">
    <w:name w:val="List Paragraph"/>
    <w:basedOn w:val="a"/>
    <w:uiPriority w:val="99"/>
    <w:qFormat/>
    <w:rsid w:val="000E5C4C"/>
    <w:pPr>
      <w:ind w:left="720"/>
      <w:contextualSpacing/>
    </w:pPr>
  </w:style>
  <w:style w:type="character" w:styleId="af1">
    <w:name w:val="Intense Emphasis"/>
    <w:basedOn w:val="a0"/>
    <w:uiPriority w:val="21"/>
    <w:qFormat/>
    <w:rsid w:val="000E5C4C"/>
    <w:rPr>
      <w:i/>
      <w:iCs/>
      <w:color w:val="2F5496" w:themeColor="accent1" w:themeShade="BF"/>
    </w:rPr>
  </w:style>
  <w:style w:type="paragraph" w:styleId="af2">
    <w:name w:val="Intense Quote"/>
    <w:basedOn w:val="a"/>
    <w:next w:val="a"/>
    <w:link w:val="af3"/>
    <w:uiPriority w:val="99"/>
    <w:qFormat/>
    <w:rsid w:val="000E5C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3">
    <w:name w:val="明显引用 字符"/>
    <w:basedOn w:val="a0"/>
    <w:link w:val="af2"/>
    <w:uiPriority w:val="99"/>
    <w:rsid w:val="000E5C4C"/>
    <w:rPr>
      <w:i/>
      <w:iCs/>
      <w:color w:val="2F5496" w:themeColor="accent1" w:themeShade="BF"/>
      <w:kern w:val="2"/>
      <w:sz w:val="21"/>
      <w:szCs w:val="24"/>
    </w:rPr>
  </w:style>
  <w:style w:type="character" w:styleId="af4">
    <w:name w:val="Intense Reference"/>
    <w:basedOn w:val="a0"/>
    <w:uiPriority w:val="32"/>
    <w:qFormat/>
    <w:rsid w:val="000E5C4C"/>
    <w:rPr>
      <w:b/>
      <w:bCs/>
      <w:smallCaps/>
      <w:color w:val="2F5496" w:themeColor="accent1" w:themeShade="BF"/>
      <w:spacing w:val="5"/>
    </w:rPr>
  </w:style>
  <w:style w:type="character" w:customStyle="1" w:styleId="apple-converted-space">
    <w:name w:val="apple-converted-space"/>
    <w:basedOn w:val="a0"/>
    <w:rsid w:val="000E5C4C"/>
  </w:style>
  <w:style w:type="paragraph" w:styleId="af5">
    <w:name w:val="Normal (Web)"/>
    <w:basedOn w:val="a"/>
    <w:uiPriority w:val="99"/>
    <w:semiHidden/>
    <w:unhideWhenUsed/>
    <w:rsid w:val="000E5C4C"/>
    <w:pPr>
      <w:widowControl/>
      <w:spacing w:before="100" w:beforeAutospacing="1" w:after="100" w:afterAutospacing="1"/>
      <w:jc w:val="left"/>
    </w:pPr>
    <w:rPr>
      <w:rFonts w:ascii="宋体" w:hAnsi="宋体" w:cs="宋体"/>
      <w:kern w:val="0"/>
      <w:sz w:val="24"/>
    </w:rPr>
  </w:style>
  <w:style w:type="character" w:styleId="af6">
    <w:name w:val="Strong"/>
    <w:basedOn w:val="a0"/>
    <w:uiPriority w:val="22"/>
    <w:qFormat/>
    <w:rsid w:val="000E5C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4829292">
      <w:bodyDiv w:val="1"/>
      <w:marLeft w:val="0"/>
      <w:marRight w:val="0"/>
      <w:marTop w:val="0"/>
      <w:marBottom w:val="0"/>
      <w:divBdr>
        <w:top w:val="none" w:sz="0" w:space="0" w:color="auto"/>
        <w:left w:val="none" w:sz="0" w:space="0" w:color="auto"/>
        <w:bottom w:val="none" w:sz="0" w:space="0" w:color="auto"/>
        <w:right w:val="none" w:sz="0" w:space="0" w:color="auto"/>
      </w:divBdr>
      <w:divsChild>
        <w:div w:id="517163196">
          <w:marLeft w:val="0"/>
          <w:marRight w:val="0"/>
          <w:marTop w:val="0"/>
          <w:marBottom w:val="0"/>
          <w:divBdr>
            <w:top w:val="none" w:sz="0" w:space="0" w:color="auto"/>
            <w:left w:val="none" w:sz="0" w:space="0" w:color="auto"/>
            <w:bottom w:val="none" w:sz="0" w:space="0" w:color="auto"/>
            <w:right w:val="none" w:sz="0" w:space="0" w:color="auto"/>
          </w:divBdr>
        </w:div>
        <w:div w:id="1676955299">
          <w:marLeft w:val="0"/>
          <w:marRight w:val="0"/>
          <w:marTop w:val="0"/>
          <w:marBottom w:val="0"/>
          <w:divBdr>
            <w:top w:val="none" w:sz="0" w:space="0" w:color="auto"/>
            <w:left w:val="none" w:sz="0" w:space="0" w:color="auto"/>
            <w:bottom w:val="none" w:sz="0" w:space="0" w:color="auto"/>
            <w:right w:val="none" w:sz="0" w:space="0" w:color="auto"/>
          </w:divBdr>
        </w:div>
        <w:div w:id="18157539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500</Words>
  <Characters>2852</Characters>
  <Application>Microsoft Office Word</Application>
  <DocSecurity>0</DocSecurity>
  <Lines>23</Lines>
  <Paragraphs>6</Paragraphs>
  <ScaleCrop>false</ScaleCrop>
  <Company/>
  <LinksUpToDate>false</LinksUpToDate>
  <CharactersWithSpaces>3346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e35626</dc:creator>
  <cp:keywords/>
  <dc:description/>
  <cp:lastModifiedBy>e35626</cp:lastModifiedBy>
  <cp:revision>2</cp:revision>
  <dcterms:created xsi:type="dcterms:W3CDTF">2025-09-28T15:28:00Z</dcterms:created>
  <dcterms:modified xsi:type="dcterms:W3CDTF">2025-09-28T15:28:00Z</dcterms:modified>
</cp:coreProperties>
</file>